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2705" w14:textId="77777777" w:rsidR="00B14080" w:rsidRPr="00B06508" w:rsidRDefault="00B1408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Jacksonville Environmental Protection Board</w:t>
      </w:r>
    </w:p>
    <w:p w14:paraId="6BF3CFBE" w14:textId="709BC817" w:rsidR="00B14080" w:rsidRPr="00B06508" w:rsidRDefault="00DC5437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Monday, </w:t>
      </w:r>
      <w:r w:rsidR="0062424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May 19</w:t>
      </w:r>
      <w:r w:rsidR="0068395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, 2025</w:t>
      </w:r>
    </w:p>
    <w:p w14:paraId="03759F91" w14:textId="77777777" w:rsidR="00B14080" w:rsidRPr="00B06508" w:rsidRDefault="00B14080" w:rsidP="00B14080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MONTHLY 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MEETING SUMMARY</w:t>
      </w:r>
    </w:p>
    <w:p w14:paraId="527734BF" w14:textId="77777777" w:rsidR="00B14080" w:rsidRPr="00B06508" w:rsidRDefault="00B14080" w:rsidP="00B14080"/>
    <w:p w14:paraId="422F70A2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MEMBERS PRESENT:</w:t>
      </w:r>
    </w:p>
    <w:p w14:paraId="3100CA3F" w14:textId="77777777" w:rsidR="00B14080" w:rsidRPr="00B06508" w:rsidRDefault="00B14080" w:rsidP="00B14080">
      <w:pPr>
        <w:sectPr w:rsidR="00B14080" w:rsidRPr="00B06508" w:rsidSect="00B14080">
          <w:headerReference w:type="first" r:id="rId8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EDC2437" w14:textId="77777777" w:rsidR="00624249" w:rsidRDefault="00DA6D5B" w:rsidP="00B14080">
      <w:r>
        <w:t>A</w:t>
      </w:r>
      <w:r w:rsidRPr="00920EB3">
        <w:t>dam Hoyles</w:t>
      </w:r>
      <w:r>
        <w:t>, Vice-Chair</w:t>
      </w:r>
    </w:p>
    <w:p w14:paraId="5D97532F" w14:textId="451B0FFE" w:rsidR="000E7062" w:rsidRDefault="00B10013" w:rsidP="000E7062">
      <w:r>
        <w:t xml:space="preserve">Josh Gellers, </w:t>
      </w:r>
      <w:proofErr w:type="spellStart"/>
      <w:r>
        <w:t>Ph.</w:t>
      </w:r>
      <w:proofErr w:type="gramStart"/>
      <w:r>
        <w:t>D.</w:t>
      </w:r>
      <w:r w:rsidR="000E7062">
        <w:t>Margarete</w:t>
      </w:r>
      <w:proofErr w:type="spellEnd"/>
      <w:proofErr w:type="gramEnd"/>
      <w:r w:rsidR="000E7062">
        <w:t xml:space="preserve"> Vest, P.E</w:t>
      </w:r>
    </w:p>
    <w:p w14:paraId="115F0F23" w14:textId="77777777" w:rsidR="000E7062" w:rsidRDefault="000E7062" w:rsidP="000E7062">
      <w:r>
        <w:t>Clint Noble, P.G.</w:t>
      </w:r>
    </w:p>
    <w:p w14:paraId="77693E88" w14:textId="77777777" w:rsidR="008B5A7B" w:rsidRDefault="008B5A7B" w:rsidP="008B5A7B">
      <w:r>
        <w:t>Guillermo Simon, P.E.</w:t>
      </w:r>
    </w:p>
    <w:p w14:paraId="6755CA96" w14:textId="08C7E37B" w:rsidR="00683950" w:rsidRDefault="00683950" w:rsidP="00B14080">
      <w:r>
        <w:t>Megan Ferer</w:t>
      </w:r>
    </w:p>
    <w:p w14:paraId="432EF052" w14:textId="77777777" w:rsidR="00683950" w:rsidRDefault="00683950" w:rsidP="00B14080">
      <w:pPr>
        <w:sectPr w:rsidR="00683950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112DD7EA" w14:textId="77777777" w:rsidR="0099762A" w:rsidRDefault="0099762A" w:rsidP="00B14080">
      <w:pPr>
        <w:sectPr w:rsidR="0099762A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CF72921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MEMBERS NOT PRESENT:</w:t>
      </w:r>
    </w:p>
    <w:p w14:paraId="70F1A237" w14:textId="77777777" w:rsidR="00B14080" w:rsidRPr="00B06508" w:rsidRDefault="00B14080" w:rsidP="00B14080">
      <w:pPr>
        <w:sectPr w:rsidR="00B14080" w:rsidRPr="00B06508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3D548689" w14:textId="77777777" w:rsidR="00624249" w:rsidRDefault="00624249" w:rsidP="00624249">
      <w:r>
        <w:t xml:space="preserve">Desiree Jones </w:t>
      </w:r>
    </w:p>
    <w:p w14:paraId="6F9A2C02" w14:textId="77777777" w:rsidR="00624249" w:rsidRDefault="00624249" w:rsidP="00624249">
      <w:r>
        <w:t>Sunil Joshi, M.D</w:t>
      </w:r>
    </w:p>
    <w:p w14:paraId="26C0DCCA" w14:textId="77777777" w:rsidR="0099762A" w:rsidRDefault="0099762A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sectPr w:rsidR="0099762A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7E5AE660" w14:textId="77777777" w:rsidR="00624249" w:rsidRDefault="00624249" w:rsidP="00624249">
      <w:r w:rsidRPr="00B06508">
        <w:t>Thomas Deck</w:t>
      </w:r>
      <w:r>
        <w:t>, Chair</w:t>
      </w:r>
      <w:r w:rsidRPr="00B06508">
        <w:t xml:space="preserve"> </w:t>
      </w:r>
    </w:p>
    <w:p w14:paraId="1CB73CF0" w14:textId="77777777" w:rsidR="00624249" w:rsidRDefault="00624249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E30C0E1" w14:textId="47BF9B5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STAFF/RESOURCES PRESENT:</w:t>
      </w:r>
    </w:p>
    <w:p w14:paraId="3F644BCF" w14:textId="77777777" w:rsidR="00B14080" w:rsidRPr="00B06508" w:rsidRDefault="00B14080" w:rsidP="00B14080">
      <w:pPr>
        <w:sectPr w:rsidR="00B14080" w:rsidRPr="00B06508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4FDFAD2B" w14:textId="1AAAECEA" w:rsidR="0099762A" w:rsidRDefault="0099762A" w:rsidP="00B14080">
      <w:r>
        <w:t>James Richardson, JEPB Staff</w:t>
      </w:r>
    </w:p>
    <w:p w14:paraId="4211047F" w14:textId="4FE2EE60" w:rsidR="00B14080" w:rsidRDefault="00B14080" w:rsidP="00B14080">
      <w:r>
        <w:t>Cherry Pollock, OGC</w:t>
      </w:r>
    </w:p>
    <w:p w14:paraId="1C2CAD1E" w14:textId="77777777" w:rsidR="00B14080" w:rsidRDefault="00B14080" w:rsidP="00B14080">
      <w:r>
        <w:t>Mike Williams, EQD</w:t>
      </w:r>
    </w:p>
    <w:p w14:paraId="34AC7965" w14:textId="750D707D" w:rsidR="00B6797B" w:rsidRDefault="00B6797B" w:rsidP="00B14080">
      <w:r>
        <w:t>Terry Carr, EQD</w:t>
      </w:r>
    </w:p>
    <w:p w14:paraId="78FA0B39" w14:textId="77777777" w:rsidR="00B14080" w:rsidRDefault="00B14080" w:rsidP="00B14080">
      <w:pPr>
        <w:sectPr w:rsidR="00B14080" w:rsidSect="00B14080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</w:p>
    <w:p w14:paraId="2B8D73CF" w14:textId="77777777" w:rsidR="00B14080" w:rsidRPr="00B06508" w:rsidRDefault="00B14080" w:rsidP="00B14080"/>
    <w:p w14:paraId="6CA08777" w14:textId="77777777" w:rsidR="00B14080" w:rsidRPr="00B06508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0" w:name="_Hlk66975304"/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VISITOR(s) PRESENT:</w:t>
      </w:r>
    </w:p>
    <w:p w14:paraId="6579D411" w14:textId="77777777" w:rsidR="00B14080" w:rsidRDefault="00B14080" w:rsidP="00B14080">
      <w:pPr>
        <w:sectPr w:rsidR="00B14080" w:rsidSect="00B14080">
          <w:type w:val="continuous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bookmarkEnd w:id="0"/>
    <w:p w14:paraId="5853B6F1" w14:textId="77777777" w:rsidR="0099762A" w:rsidRDefault="00624249" w:rsidP="00B14080">
      <w:r>
        <w:t>John Nooney</w:t>
      </w:r>
    </w:p>
    <w:p w14:paraId="1F3E05AB" w14:textId="77777777" w:rsidR="00624249" w:rsidRDefault="00624249" w:rsidP="00B14080">
      <w:r>
        <w:t>William Karlavige, EQD</w:t>
      </w:r>
    </w:p>
    <w:p w14:paraId="37A289EA" w14:textId="58A45503" w:rsidR="00624249" w:rsidRDefault="00624249" w:rsidP="00B14080">
      <w:r>
        <w:t>Kiyah Powell, EQD</w:t>
      </w:r>
    </w:p>
    <w:p w14:paraId="21055035" w14:textId="77777777" w:rsidR="00624249" w:rsidRDefault="00624249" w:rsidP="00B14080">
      <w:r>
        <w:t>Rayanna Renault, EQD</w:t>
      </w:r>
    </w:p>
    <w:p w14:paraId="2186B356" w14:textId="399384E9" w:rsidR="00624249" w:rsidRDefault="00624249" w:rsidP="00B14080">
      <w:pPr>
        <w:sectPr w:rsidR="00624249" w:rsidSect="0099762A">
          <w:type w:val="continuous"/>
          <w:pgSz w:w="12240" w:h="15840"/>
          <w:pgMar w:top="1440" w:right="1440" w:bottom="1440" w:left="1440" w:header="360" w:footer="720" w:gutter="0"/>
          <w:cols w:num="2" w:space="720"/>
          <w:titlePg/>
          <w:docGrid w:linePitch="360"/>
        </w:sectPr>
      </w:pPr>
      <w:r>
        <w:t>Kelley Demings</w:t>
      </w:r>
    </w:p>
    <w:p w14:paraId="39A29C3F" w14:textId="77777777" w:rsidR="008B5A7B" w:rsidRDefault="008B5A7B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sectPr w:rsidR="008B5A7B" w:rsidSect="00683D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479A9E3E" w14:textId="3D51206E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CALL TO ORDER 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7F582F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TOM DECK</w:t>
      </w:r>
    </w:p>
    <w:p w14:paraId="11B58C9D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INTRODUCTIONS</w:t>
      </w:r>
    </w:p>
    <w:p w14:paraId="7CE01F93" w14:textId="176DF7FC" w:rsidR="00B14080" w:rsidRDefault="00624249" w:rsidP="00B14080">
      <w:r>
        <w:t>Vice-</w:t>
      </w:r>
      <w:r w:rsidR="00CF7003">
        <w:t>C</w:t>
      </w:r>
      <w:r w:rsidR="00B14080" w:rsidRPr="00B06508">
        <w:t xml:space="preserve">hair </w:t>
      </w:r>
      <w:r>
        <w:t xml:space="preserve">Hoyles </w:t>
      </w:r>
      <w:r w:rsidR="00B14080" w:rsidRPr="00B06508">
        <w:t xml:space="preserve">called to order the </w:t>
      </w:r>
      <w:r w:rsidR="00B14080">
        <w:t xml:space="preserve">monthly </w:t>
      </w:r>
      <w:r w:rsidR="00B14080" w:rsidRPr="00B06508">
        <w:t>meeting of the Jacksonville Environmental Protection Board (JEPB) at 5:0</w:t>
      </w:r>
      <w:r>
        <w:t>3</w:t>
      </w:r>
      <w:r w:rsidR="00B14080" w:rsidRPr="00B06508">
        <w:t xml:space="preserve"> pm.  A quorum </w:t>
      </w:r>
      <w:r w:rsidR="00B14080">
        <w:t xml:space="preserve">was </w:t>
      </w:r>
      <w:r w:rsidR="00B14080" w:rsidRPr="00B06508">
        <w:t>established</w:t>
      </w:r>
      <w:r w:rsidR="00B14080">
        <w:t xml:space="preserve">.  </w:t>
      </w:r>
    </w:p>
    <w:p w14:paraId="3D28419D" w14:textId="77777777" w:rsidR="00B14080" w:rsidRDefault="00B14080" w:rsidP="00B14080"/>
    <w:p w14:paraId="4C69FD93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CHAIRMANS REMARKS</w:t>
      </w:r>
    </w:p>
    <w:p w14:paraId="1931CC91" w14:textId="64118569" w:rsidR="00B14080" w:rsidRDefault="00624249" w:rsidP="00B14080">
      <w:r>
        <w:t>None</w:t>
      </w:r>
    </w:p>
    <w:p w14:paraId="26819A30" w14:textId="77777777" w:rsidR="00B14080" w:rsidRDefault="00B14080" w:rsidP="00B14080"/>
    <w:p w14:paraId="5504F02A" w14:textId="77777777" w:rsidR="00B14080" w:rsidRPr="009F0BBC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1" w:name="_Hlk142294547"/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COMMENTS FROM THE PUBLIC </w:t>
      </w:r>
    </w:p>
    <w:bookmarkEnd w:id="1"/>
    <w:p w14:paraId="26703C2B" w14:textId="3620306E" w:rsidR="00F521C2" w:rsidRDefault="00624249" w:rsidP="00B14080">
      <w:r>
        <w:t xml:space="preserve">Mr. John Nooney shared his thought that the presentation to the JEPB </w:t>
      </w:r>
      <w:proofErr w:type="gramStart"/>
      <w:r>
        <w:t>should be also be</w:t>
      </w:r>
      <w:proofErr w:type="gramEnd"/>
      <w:r>
        <w:t xml:space="preserve"> done at meeting of the Jacksonville Waterways Commission.  He also shared comments that the “public trust” has been crushed and encouraged support for a resolution expressing acknowledgement </w:t>
      </w:r>
      <w:r w:rsidR="009B4BB3">
        <w:t>that his residence is on the FIND list.</w:t>
      </w:r>
    </w:p>
    <w:p w14:paraId="3E9371C1" w14:textId="77777777" w:rsidR="00B14080" w:rsidRDefault="00B14080" w:rsidP="00B14080"/>
    <w:p w14:paraId="397FD281" w14:textId="77777777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APPROVAL OF MINUTES</w:t>
      </w:r>
    </w:p>
    <w:p w14:paraId="414DBFFB" w14:textId="21A4BFFE" w:rsidR="003A4A5A" w:rsidRDefault="009B4BB3" w:rsidP="00B14080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April 21</w:t>
      </w:r>
      <w:r w:rsidR="006B5D66">
        <w:rPr>
          <w:rFonts w:ascii="Century Gothic" w:hAnsi="Century Gothic"/>
          <w:bCs/>
          <w:sz w:val="22"/>
        </w:rPr>
        <w:t xml:space="preserve">, </w:t>
      </w:r>
      <w:proofErr w:type="gramStart"/>
      <w:r w:rsidR="006B5D66">
        <w:rPr>
          <w:rFonts w:ascii="Century Gothic" w:hAnsi="Century Gothic"/>
          <w:bCs/>
          <w:sz w:val="22"/>
        </w:rPr>
        <w:t>2025</w:t>
      </w:r>
      <w:proofErr w:type="gramEnd"/>
      <w:r w:rsidR="000E7FB5">
        <w:rPr>
          <w:rFonts w:ascii="Century Gothic" w:hAnsi="Century Gothic"/>
          <w:bCs/>
          <w:sz w:val="22"/>
        </w:rPr>
        <w:t xml:space="preserve"> </w:t>
      </w:r>
      <w:r w:rsidR="00B14080" w:rsidRPr="008D3936">
        <w:rPr>
          <w:rFonts w:ascii="Century Gothic" w:hAnsi="Century Gothic"/>
          <w:bCs/>
          <w:sz w:val="22"/>
        </w:rPr>
        <w:t xml:space="preserve">Monthly </w:t>
      </w:r>
      <w:r w:rsidR="000E7FB5">
        <w:rPr>
          <w:rFonts w:ascii="Century Gothic" w:hAnsi="Century Gothic"/>
          <w:bCs/>
          <w:sz w:val="22"/>
        </w:rPr>
        <w:t xml:space="preserve">Board </w:t>
      </w:r>
      <w:r w:rsidR="00B14080" w:rsidRPr="008D3936">
        <w:rPr>
          <w:rFonts w:ascii="Century Gothic" w:hAnsi="Century Gothic"/>
          <w:bCs/>
          <w:sz w:val="22"/>
        </w:rPr>
        <w:t>Meeting</w:t>
      </w:r>
      <w:r w:rsidR="00B14080">
        <w:rPr>
          <w:rFonts w:ascii="Century Gothic" w:hAnsi="Century Gothic"/>
          <w:bCs/>
          <w:sz w:val="22"/>
        </w:rPr>
        <w:t xml:space="preserve"> Summar</w:t>
      </w:r>
      <w:r w:rsidR="009E3054">
        <w:rPr>
          <w:rFonts w:ascii="Century Gothic" w:hAnsi="Century Gothic"/>
          <w:bCs/>
          <w:sz w:val="22"/>
        </w:rPr>
        <w:t>y</w:t>
      </w:r>
    </w:p>
    <w:p w14:paraId="0DCD193A" w14:textId="77777777" w:rsidR="00B14080" w:rsidRDefault="00B14080" w:rsidP="00B14080"/>
    <w:p w14:paraId="104D87A3" w14:textId="069C78B1" w:rsidR="00B14080" w:rsidRDefault="00B14080" w:rsidP="00B14080">
      <w:r>
        <w:t xml:space="preserve">A motion was made </w:t>
      </w:r>
      <w:r w:rsidR="00683950">
        <w:t>(</w:t>
      </w:r>
      <w:r w:rsidR="009B4BB3">
        <w:t>Simon</w:t>
      </w:r>
      <w:r>
        <w:t>) to approve the meeting summar</w:t>
      </w:r>
      <w:r w:rsidR="00307D11">
        <w:t>y</w:t>
      </w:r>
      <w:r>
        <w:t>, properly seconded (</w:t>
      </w:r>
      <w:r w:rsidR="000E7062">
        <w:t>Gellers</w:t>
      </w:r>
      <w:r>
        <w:t>) and approved by the body.</w:t>
      </w:r>
    </w:p>
    <w:p w14:paraId="09592939" w14:textId="77777777" w:rsidR="00B14080" w:rsidRDefault="00B14080" w:rsidP="00B14080"/>
    <w:p w14:paraId="3C8F1B3E" w14:textId="303326A2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CONSENT ORDERS</w:t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FB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6B5D66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JAMES RICHARDSON</w:t>
      </w:r>
    </w:p>
    <w:p w14:paraId="5914E174" w14:textId="77777777" w:rsidR="00B14080" w:rsidRDefault="00B14080" w:rsidP="00B14080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B5CBDBF" w14:textId="77777777" w:rsidR="00307D11" w:rsidRDefault="00307D11" w:rsidP="00307D11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Start w:id="3" w:name="_Hlk152841780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4FE7F724" w14:textId="77777777" w:rsidR="00307D11" w:rsidRDefault="00307D11" w:rsidP="00307D11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01A237F5" w14:textId="77777777" w:rsidR="009B4BB3" w:rsidRPr="000F1506" w:rsidRDefault="009B4BB3" w:rsidP="009B4BB3">
      <w:pPr>
        <w:pStyle w:val="ListParagraph"/>
        <w:numPr>
          <w:ilvl w:val="0"/>
          <w:numId w:val="6"/>
        </w:numPr>
        <w:ind w:left="1440"/>
        <w:jc w:val="both"/>
        <w:rPr>
          <w:rFonts w:eastAsia="Arial"/>
          <w:color w:val="000000" w:themeColor="text1"/>
          <w:sz w:val="22"/>
        </w:rPr>
      </w:pPr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Eastport Jacksonville Property Owner LLC, </w:t>
      </w:r>
      <w:proofErr w:type="spellStart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>Arborvation</w:t>
      </w:r>
      <w:proofErr w:type="spellEnd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, LLC, </w:t>
      </w:r>
      <w:r w:rsidRPr="000F1506">
        <w:rPr>
          <w:rFonts w:eastAsia="Times New Roman"/>
          <w:i/>
          <w:iCs/>
          <w:snapToGrid w:val="0"/>
          <w:sz w:val="22"/>
        </w:rPr>
        <w:t xml:space="preserve">[AP-25-01] at 0 Kraft Road, </w:t>
      </w:r>
      <w:r w:rsidRPr="000F1506">
        <w:rPr>
          <w:rFonts w:eastAsia="Arial"/>
          <w:color w:val="000000" w:themeColor="text1"/>
          <w:sz w:val="22"/>
        </w:rPr>
        <w:t xml:space="preserve">Failure to adhere to set back distances for open burn piles; Failure to have the open burning </w:t>
      </w:r>
      <w:proofErr w:type="gramStart"/>
      <w:r w:rsidRPr="000F1506">
        <w:rPr>
          <w:rFonts w:eastAsia="Arial"/>
          <w:color w:val="000000" w:themeColor="text1"/>
          <w:sz w:val="22"/>
        </w:rPr>
        <w:t>attended at all times</w:t>
      </w:r>
      <w:proofErr w:type="gramEnd"/>
      <w:r w:rsidRPr="000F1506">
        <w:rPr>
          <w:rFonts w:eastAsia="Arial"/>
          <w:color w:val="000000" w:themeColor="text1"/>
          <w:sz w:val="22"/>
        </w:rPr>
        <w:t>; Failure to control the size of the open burn piles; and Failure to have emergency fire managing equipment on site</w:t>
      </w:r>
    </w:p>
    <w:p w14:paraId="47495692" w14:textId="77777777" w:rsidR="009B4BB3" w:rsidRPr="002A40E0" w:rsidRDefault="009B4BB3" w:rsidP="009B4BB3">
      <w:pPr>
        <w:widowControl w:val="0"/>
        <w:ind w:left="720"/>
        <w:jc w:val="both"/>
        <w:rPr>
          <w:rFonts w:eastAsia="Times New Roman"/>
          <w:b/>
          <w:bCs/>
          <w:snapToGrid w:val="0"/>
          <w:sz w:val="22"/>
        </w:rPr>
      </w:pPr>
    </w:p>
    <w:p w14:paraId="638AEB17" w14:textId="77777777" w:rsidR="009B4BB3" w:rsidRPr="000E6CFC" w:rsidRDefault="009B4BB3" w:rsidP="009B4BB3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  <w:r w:rsidRPr="000E6CFC">
        <w:rPr>
          <w:rFonts w:eastAsia="Times New Roman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6369C4AB" w14:textId="77777777" w:rsidR="009B4BB3" w:rsidRPr="000E6CFC" w:rsidRDefault="009B4BB3" w:rsidP="009B4BB3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  <w:r w:rsidRPr="000E6CFC">
        <w:rPr>
          <w:rFonts w:eastAsia="Times New Roman"/>
          <w:i/>
          <w:iCs/>
          <w:snapToGrid w:val="0"/>
          <w:sz w:val="18"/>
          <w:szCs w:val="18"/>
        </w:rPr>
        <w:t xml:space="preserve">JFRD to assist with extinguishing the fire, burn pile was moved to the required setbacks to include </w:t>
      </w:r>
      <w:proofErr w:type="gramStart"/>
      <w:r w:rsidRPr="000E6CFC">
        <w:rPr>
          <w:rFonts w:eastAsia="Times New Roman"/>
          <w:i/>
          <w:iCs/>
          <w:snapToGrid w:val="0"/>
          <w:sz w:val="18"/>
          <w:szCs w:val="18"/>
        </w:rPr>
        <w:t>500 gallon</w:t>
      </w:r>
      <w:proofErr w:type="gramEnd"/>
      <w:r w:rsidRPr="000E6CFC">
        <w:rPr>
          <w:rFonts w:eastAsia="Times New Roman"/>
          <w:i/>
          <w:iCs/>
          <w:snapToGrid w:val="0"/>
          <w:sz w:val="18"/>
          <w:szCs w:val="18"/>
        </w:rPr>
        <w:t xml:space="preserve"> water trailer to prevent future issues.</w:t>
      </w:r>
    </w:p>
    <w:p w14:paraId="6BAAC2DD" w14:textId="77777777" w:rsidR="009B4BB3" w:rsidRPr="000E6CFC" w:rsidRDefault="009B4BB3" w:rsidP="009B4BB3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  <w:u w:val="single"/>
        </w:rPr>
      </w:pPr>
    </w:p>
    <w:p w14:paraId="110283F6" w14:textId="77777777" w:rsidR="009B4BB3" w:rsidRPr="000E6CFC" w:rsidRDefault="009B4BB3" w:rsidP="009B4BB3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  <w:u w:val="single"/>
        </w:rPr>
      </w:pPr>
      <w:r w:rsidRPr="000E6CFC">
        <w:rPr>
          <w:rFonts w:eastAsia="Times New Roman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288D2898" w14:textId="77777777" w:rsidR="009B4BB3" w:rsidRPr="000F1506" w:rsidRDefault="009B4BB3" w:rsidP="009B4BB3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18"/>
          <w:szCs w:val="18"/>
        </w:rPr>
      </w:pPr>
      <w:r w:rsidRPr="000F1506">
        <w:rPr>
          <w:rFonts w:eastAsia="Times New Roman"/>
          <w:b/>
          <w:bCs/>
          <w:i/>
          <w:iCs/>
          <w:snapToGrid w:val="0"/>
          <w:sz w:val="18"/>
          <w:szCs w:val="18"/>
        </w:rPr>
        <w:t>$300.00</w:t>
      </w:r>
    </w:p>
    <w:p w14:paraId="4A5B19D9" w14:textId="77777777" w:rsidR="009B4BB3" w:rsidRPr="000E6CFC" w:rsidRDefault="009B4BB3" w:rsidP="009B4BB3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</w:p>
    <w:p w14:paraId="23FB7060" w14:textId="77777777" w:rsidR="009B4BB3" w:rsidRPr="000E6CFC" w:rsidRDefault="009B4BB3" w:rsidP="009B4BB3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  <w:r w:rsidRPr="000E6CFC">
        <w:rPr>
          <w:rFonts w:eastAsia="Times New Roman"/>
          <w:i/>
          <w:iCs/>
          <w:snapToGrid w:val="0"/>
          <w:sz w:val="18"/>
          <w:szCs w:val="18"/>
          <w:u w:val="single"/>
        </w:rPr>
        <w:t>Consent Order requirements</w:t>
      </w:r>
      <w:r w:rsidRPr="000E6CFC">
        <w:rPr>
          <w:rFonts w:eastAsia="Times New Roman"/>
          <w:i/>
          <w:iCs/>
          <w:snapToGrid w:val="0"/>
          <w:sz w:val="18"/>
          <w:szCs w:val="18"/>
        </w:rPr>
        <w:t>:</w:t>
      </w:r>
    </w:p>
    <w:p w14:paraId="0012E4DA" w14:textId="77777777" w:rsidR="009B4BB3" w:rsidRPr="00957D5F" w:rsidRDefault="009B4BB3" w:rsidP="009B4BB3">
      <w:pPr>
        <w:widowControl w:val="0"/>
        <w:ind w:left="2160"/>
        <w:rPr>
          <w:rFonts w:eastAsia="Times New Roman"/>
          <w:snapToGrid w:val="0"/>
          <w:sz w:val="22"/>
        </w:rPr>
      </w:pPr>
      <w:r w:rsidRPr="000E6CFC">
        <w:rPr>
          <w:rFonts w:eastAsia="Times New Roman"/>
          <w:i/>
          <w:iCs/>
          <w:snapToGrid w:val="0"/>
          <w:sz w:val="18"/>
          <w:szCs w:val="18"/>
        </w:rPr>
        <w:t>Penalty payment only</w:t>
      </w:r>
    </w:p>
    <w:p w14:paraId="6FE227BB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521B150A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31215EC2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08313368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74A3AF58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54B05DD5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350973E8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7402FBAB" w14:textId="77777777" w:rsidR="009B4BB3" w:rsidRDefault="009B4BB3" w:rsidP="009B4BB3">
      <w:pPr>
        <w:ind w:left="720"/>
        <w:jc w:val="both"/>
        <w:rPr>
          <w:b/>
          <w:bCs/>
          <w:sz w:val="22"/>
        </w:rPr>
      </w:pPr>
    </w:p>
    <w:p w14:paraId="317DC390" w14:textId="77777777" w:rsidR="009B4BB3" w:rsidRPr="000F1506" w:rsidRDefault="009B4BB3" w:rsidP="009B4BB3">
      <w:pPr>
        <w:pStyle w:val="ListParagraph"/>
        <w:numPr>
          <w:ilvl w:val="0"/>
          <w:numId w:val="6"/>
        </w:numPr>
        <w:tabs>
          <w:tab w:val="left" w:pos="3750"/>
        </w:tabs>
        <w:ind w:left="1440"/>
        <w:jc w:val="both"/>
        <w:rPr>
          <w:rFonts w:eastAsia="Times New Roman"/>
          <w:bCs/>
          <w:snapToGrid w:val="0"/>
          <w:sz w:val="22"/>
        </w:rPr>
      </w:pPr>
      <w:r w:rsidRPr="000F1506">
        <w:rPr>
          <w:b/>
          <w:bCs/>
          <w:sz w:val="22"/>
        </w:rPr>
        <w:lastRenderedPageBreak/>
        <w:t xml:space="preserve">Indigo VIP Restaurant and Lounge, dba </w:t>
      </w:r>
      <w:proofErr w:type="spellStart"/>
      <w:r w:rsidRPr="000F1506">
        <w:rPr>
          <w:b/>
          <w:bCs/>
          <w:sz w:val="22"/>
        </w:rPr>
        <w:t>Nuku</w:t>
      </w:r>
      <w:proofErr w:type="spellEnd"/>
      <w:r w:rsidRPr="000F1506">
        <w:rPr>
          <w:b/>
          <w:bCs/>
          <w:sz w:val="22"/>
        </w:rPr>
        <w:t xml:space="preserve"> LLC, 5065 Normandy Blvd, LLC, </w:t>
      </w:r>
      <w:r w:rsidRPr="000F1506">
        <w:rPr>
          <w:sz w:val="22"/>
        </w:rPr>
        <w:t>[</w:t>
      </w:r>
      <w:r w:rsidRPr="000F1506">
        <w:rPr>
          <w:i/>
          <w:iCs/>
          <w:sz w:val="22"/>
        </w:rPr>
        <w:t xml:space="preserve">NP-25-05] at </w:t>
      </w:r>
      <w:r w:rsidRPr="000F1506">
        <w:rPr>
          <w:sz w:val="22"/>
        </w:rPr>
        <w:t>5065 Normandy Blvd</w:t>
      </w:r>
      <w:r w:rsidRPr="000F1506">
        <w:rPr>
          <w:i/>
          <w:iCs/>
          <w:sz w:val="22"/>
        </w:rPr>
        <w:t xml:space="preserve">, </w:t>
      </w:r>
      <w:r w:rsidRPr="000F1506">
        <w:rPr>
          <w:rFonts w:eastAsia="Times New Roman"/>
          <w:bCs/>
          <w:snapToGrid w:val="0"/>
          <w:sz w:val="22"/>
        </w:rPr>
        <w:t>Causing, allowing, or permitting emission of sound to Class B receiving land in exceedance of noise limits.</w:t>
      </w:r>
    </w:p>
    <w:p w14:paraId="40C42947" w14:textId="77777777" w:rsidR="009B4BB3" w:rsidRDefault="009B4BB3" w:rsidP="009B4BB3">
      <w:pPr>
        <w:spacing w:line="218" w:lineRule="auto"/>
        <w:ind w:left="144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40706AF3" w14:textId="77777777" w:rsidR="009B4BB3" w:rsidRPr="000E6CFC" w:rsidRDefault="009B4BB3" w:rsidP="009B4BB3">
      <w:pPr>
        <w:ind w:left="2160"/>
        <w:rPr>
          <w:bCs/>
          <w:i/>
          <w:iCs/>
          <w:sz w:val="18"/>
          <w:szCs w:val="18"/>
        </w:rPr>
      </w:pPr>
      <w:r w:rsidRPr="000E6CFC">
        <w:rPr>
          <w:bCs/>
          <w:i/>
          <w:iCs/>
          <w:sz w:val="18"/>
          <w:szCs w:val="18"/>
          <w:u w:val="single"/>
        </w:rPr>
        <w:t>Corrective Actions:</w:t>
      </w:r>
    </w:p>
    <w:p w14:paraId="33C3C42B" w14:textId="77777777" w:rsidR="009B4BB3" w:rsidRPr="000E6CFC" w:rsidRDefault="009B4BB3" w:rsidP="009B4BB3">
      <w:pPr>
        <w:ind w:left="2160"/>
        <w:rPr>
          <w:bCs/>
          <w:i/>
          <w:iCs/>
          <w:sz w:val="18"/>
          <w:szCs w:val="18"/>
        </w:rPr>
      </w:pPr>
      <w:r w:rsidRPr="000E6CFC">
        <w:rPr>
          <w:bCs/>
          <w:i/>
          <w:iCs/>
          <w:sz w:val="18"/>
          <w:szCs w:val="18"/>
        </w:rPr>
        <w:t>Education compliance</w:t>
      </w:r>
    </w:p>
    <w:p w14:paraId="784981EE" w14:textId="77777777" w:rsidR="009B4BB3" w:rsidRPr="000E6CFC" w:rsidRDefault="009B4BB3" w:rsidP="009B4BB3">
      <w:pPr>
        <w:ind w:left="2160"/>
        <w:rPr>
          <w:bCs/>
          <w:i/>
          <w:iCs/>
          <w:sz w:val="18"/>
          <w:szCs w:val="18"/>
          <w:u w:val="single"/>
        </w:rPr>
      </w:pPr>
    </w:p>
    <w:p w14:paraId="370A7F46" w14:textId="77777777" w:rsidR="009B4BB3" w:rsidRPr="000E6CFC" w:rsidRDefault="009B4BB3" w:rsidP="009B4BB3">
      <w:pPr>
        <w:ind w:left="2160"/>
        <w:rPr>
          <w:i/>
          <w:iCs/>
          <w:sz w:val="18"/>
          <w:szCs w:val="18"/>
          <w:u w:val="single"/>
        </w:rPr>
      </w:pPr>
      <w:r w:rsidRPr="000E6CFC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28C164FE" w14:textId="77777777" w:rsidR="009B4BB3" w:rsidRPr="000F1506" w:rsidRDefault="009B4BB3" w:rsidP="009B4BB3">
      <w:pPr>
        <w:ind w:left="2160"/>
        <w:rPr>
          <w:b/>
          <w:bCs/>
          <w:i/>
          <w:iCs/>
          <w:sz w:val="18"/>
          <w:szCs w:val="18"/>
        </w:rPr>
      </w:pPr>
      <w:r w:rsidRPr="000F1506">
        <w:rPr>
          <w:b/>
          <w:bCs/>
          <w:i/>
          <w:iCs/>
          <w:sz w:val="18"/>
          <w:szCs w:val="18"/>
        </w:rPr>
        <w:t>$500.00</w:t>
      </w:r>
    </w:p>
    <w:p w14:paraId="1E4C1F78" w14:textId="77777777" w:rsidR="009B4BB3" w:rsidRPr="000E6CFC" w:rsidRDefault="009B4BB3" w:rsidP="009B4BB3">
      <w:pPr>
        <w:ind w:left="2160"/>
        <w:rPr>
          <w:i/>
          <w:iCs/>
          <w:sz w:val="18"/>
          <w:szCs w:val="18"/>
        </w:rPr>
      </w:pPr>
    </w:p>
    <w:p w14:paraId="69600519" w14:textId="77777777" w:rsidR="009B4BB3" w:rsidRPr="000E6CFC" w:rsidRDefault="009B4BB3" w:rsidP="009B4BB3">
      <w:pPr>
        <w:ind w:left="2160"/>
        <w:rPr>
          <w:i/>
          <w:iCs/>
          <w:sz w:val="18"/>
          <w:szCs w:val="18"/>
        </w:rPr>
      </w:pPr>
      <w:r w:rsidRPr="000E6CFC">
        <w:rPr>
          <w:i/>
          <w:iCs/>
          <w:sz w:val="18"/>
          <w:szCs w:val="18"/>
          <w:u w:val="single"/>
        </w:rPr>
        <w:t>Consent Order requirements</w:t>
      </w:r>
      <w:r w:rsidRPr="000E6CFC">
        <w:rPr>
          <w:i/>
          <w:iCs/>
          <w:sz w:val="18"/>
          <w:szCs w:val="18"/>
        </w:rPr>
        <w:t>:</w:t>
      </w:r>
    </w:p>
    <w:p w14:paraId="23B08D5D" w14:textId="77777777" w:rsidR="009B4BB3" w:rsidRDefault="009B4BB3" w:rsidP="009B4BB3">
      <w:pPr>
        <w:ind w:left="2160"/>
        <w:rPr>
          <w:sz w:val="22"/>
        </w:rPr>
      </w:pPr>
      <w:r w:rsidRPr="000E6CFC">
        <w:rPr>
          <w:i/>
          <w:iCs/>
          <w:sz w:val="18"/>
          <w:szCs w:val="18"/>
        </w:rPr>
        <w:t>Penalty payment only</w:t>
      </w:r>
    </w:p>
    <w:p w14:paraId="472BF73C" w14:textId="77777777" w:rsidR="009B4BB3" w:rsidRDefault="009B4BB3" w:rsidP="009B4BB3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7CB89973" w14:textId="77777777" w:rsidR="009B4BB3" w:rsidRPr="000F1506" w:rsidRDefault="009B4BB3" w:rsidP="009B4BB3">
      <w:pPr>
        <w:pStyle w:val="ListParagraph"/>
        <w:numPr>
          <w:ilvl w:val="0"/>
          <w:numId w:val="6"/>
        </w:numPr>
        <w:ind w:left="1440"/>
        <w:jc w:val="both"/>
        <w:rPr>
          <w:sz w:val="22"/>
        </w:rPr>
      </w:pPr>
      <w:r w:rsidRPr="000F1506">
        <w:rPr>
          <w:rFonts w:eastAsia="Times New Roman"/>
          <w:b/>
          <w:bCs/>
          <w:sz w:val="22"/>
        </w:rPr>
        <w:t>Bayard Tree Service LLC</w:t>
      </w:r>
      <w:r w:rsidRPr="000F1506">
        <w:rPr>
          <w:rFonts w:eastAsia="Times New Roman"/>
          <w:i/>
          <w:iCs/>
          <w:sz w:val="22"/>
        </w:rPr>
        <w:t xml:space="preserve">, [AP-25-02] at 12801 </w:t>
      </w:r>
      <w:proofErr w:type="spellStart"/>
      <w:r w:rsidRPr="000F1506">
        <w:rPr>
          <w:rFonts w:eastAsia="Times New Roman"/>
          <w:i/>
          <w:iCs/>
          <w:sz w:val="22"/>
        </w:rPr>
        <w:t>Genovar</w:t>
      </w:r>
      <w:proofErr w:type="spellEnd"/>
      <w:r w:rsidRPr="000F1506">
        <w:rPr>
          <w:rFonts w:eastAsia="Times New Roman"/>
          <w:i/>
          <w:iCs/>
          <w:sz w:val="22"/>
        </w:rPr>
        <w:t xml:space="preserve"> St</w:t>
      </w:r>
      <w:r w:rsidRPr="000F1506">
        <w:rPr>
          <w:rFonts w:eastAsia="Times New Roman"/>
          <w:sz w:val="22"/>
        </w:rPr>
        <w:t xml:space="preserve">, </w:t>
      </w:r>
      <w:proofErr w:type="gramStart"/>
      <w:r w:rsidRPr="000F1506">
        <w:rPr>
          <w:rFonts w:eastAsia="Times New Roman"/>
          <w:sz w:val="22"/>
        </w:rPr>
        <w:t>Burning</w:t>
      </w:r>
      <w:proofErr w:type="gramEnd"/>
      <w:r w:rsidRPr="000F1506">
        <w:rPr>
          <w:rFonts w:eastAsia="Times New Roman"/>
          <w:sz w:val="22"/>
        </w:rPr>
        <w:t xml:space="preserve"> without a permit; Allowing prohibited materials to burn; Allowing material to be transported from off-site to be burned; failure to provide proper clearance from buildings; and Failure to attend pile while burning.</w:t>
      </w:r>
    </w:p>
    <w:p w14:paraId="50E3DD1E" w14:textId="77777777" w:rsidR="009B4BB3" w:rsidRDefault="009B4BB3" w:rsidP="009B4BB3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0A6A9FB" w14:textId="77777777" w:rsidR="009B4BB3" w:rsidRPr="000F1506" w:rsidRDefault="009B4BB3" w:rsidP="009B4BB3">
      <w:pPr>
        <w:ind w:left="2160"/>
        <w:rPr>
          <w:rFonts w:eastAsia="Calibri" w:cs="Arial"/>
          <w:bCs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bCs/>
          <w:i/>
          <w:iCs/>
          <w:kern w:val="2"/>
          <w:sz w:val="18"/>
          <w:szCs w:val="18"/>
          <w:u w:val="single"/>
          <w14:ligatures w14:val="standardContextual"/>
        </w:rPr>
        <w:t>Corrective Actions:</w:t>
      </w:r>
    </w:p>
    <w:p w14:paraId="24D3D31C" w14:textId="77777777" w:rsidR="009B4BB3" w:rsidRPr="000F1506" w:rsidRDefault="009B4BB3" w:rsidP="009B4BB3">
      <w:pPr>
        <w:ind w:left="2160"/>
        <w:rPr>
          <w:rFonts w:eastAsia="Calibri" w:cs="Arial"/>
          <w:bCs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bCs/>
          <w:i/>
          <w:iCs/>
          <w:kern w:val="2"/>
          <w:sz w:val="18"/>
          <w:szCs w:val="18"/>
          <w14:ligatures w14:val="standardContextual"/>
        </w:rPr>
        <w:t>JFRD extinguished the fire</w:t>
      </w:r>
    </w:p>
    <w:p w14:paraId="6D56933D" w14:textId="77777777" w:rsidR="009B4BB3" w:rsidRPr="000F1506" w:rsidRDefault="009B4BB3" w:rsidP="009B4BB3">
      <w:pPr>
        <w:ind w:left="2160"/>
        <w:rPr>
          <w:rFonts w:eastAsia="Calibri" w:cs="Arial"/>
          <w:bCs/>
          <w:i/>
          <w:iCs/>
          <w:kern w:val="2"/>
          <w:sz w:val="18"/>
          <w:szCs w:val="18"/>
          <w:u w:val="single"/>
          <w14:ligatures w14:val="standardContextual"/>
        </w:rPr>
      </w:pPr>
    </w:p>
    <w:p w14:paraId="2D5B8299" w14:textId="77777777" w:rsidR="009B4BB3" w:rsidRPr="000F1506" w:rsidRDefault="009B4BB3" w:rsidP="009B4BB3">
      <w:pPr>
        <w:ind w:left="2160"/>
        <w:rPr>
          <w:rFonts w:eastAsia="Calibri" w:cs="Arial"/>
          <w:i/>
          <w:iCs/>
          <w:kern w:val="2"/>
          <w:sz w:val="18"/>
          <w:szCs w:val="18"/>
          <w:u w:val="single"/>
          <w14:ligatures w14:val="standardContextual"/>
        </w:rPr>
      </w:pPr>
      <w:r w:rsidRPr="000F1506">
        <w:rPr>
          <w:rFonts w:eastAsia="Calibri" w:cs="Arial"/>
          <w:i/>
          <w:iCs/>
          <w:kern w:val="2"/>
          <w:sz w:val="18"/>
          <w:szCs w:val="18"/>
          <w:u w:val="single"/>
          <w14:ligatures w14:val="standardContextual"/>
        </w:rPr>
        <w:t xml:space="preserve">Consent Order settlement fee: </w:t>
      </w:r>
    </w:p>
    <w:p w14:paraId="2AADEFBD" w14:textId="77777777" w:rsidR="009B4BB3" w:rsidRPr="000F1506" w:rsidRDefault="009B4BB3" w:rsidP="009B4BB3">
      <w:pPr>
        <w:ind w:left="2160"/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  <w:t>$300</w:t>
      </w:r>
      <w:r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  <w:t>.00</w:t>
      </w:r>
      <w:r w:rsidRPr="000F1506"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  <w:t xml:space="preserve"> </w:t>
      </w:r>
    </w:p>
    <w:p w14:paraId="6DD2FC6D" w14:textId="77777777" w:rsidR="009B4BB3" w:rsidRPr="000F1506" w:rsidRDefault="009B4BB3" w:rsidP="009B4BB3">
      <w:pPr>
        <w:ind w:left="2160"/>
        <w:rPr>
          <w:rFonts w:eastAsia="Calibri" w:cs="Arial"/>
          <w:i/>
          <w:iCs/>
          <w:kern w:val="2"/>
          <w:sz w:val="18"/>
          <w:szCs w:val="18"/>
          <w14:ligatures w14:val="standardContextual"/>
        </w:rPr>
      </w:pPr>
    </w:p>
    <w:p w14:paraId="522AC879" w14:textId="77777777" w:rsidR="009B4BB3" w:rsidRPr="000F1506" w:rsidRDefault="009B4BB3" w:rsidP="009B4BB3">
      <w:pPr>
        <w:ind w:left="2160"/>
        <w:rPr>
          <w:rFonts w:eastAsia="Calibri"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i/>
          <w:iCs/>
          <w:kern w:val="2"/>
          <w:sz w:val="18"/>
          <w:szCs w:val="18"/>
          <w:u w:val="single"/>
          <w14:ligatures w14:val="standardContextual"/>
        </w:rPr>
        <w:t>Consent Order requirements</w:t>
      </w:r>
      <w:r w:rsidRPr="000F1506">
        <w:rPr>
          <w:rFonts w:eastAsia="Calibri" w:cs="Arial"/>
          <w:i/>
          <w:iCs/>
          <w:kern w:val="2"/>
          <w:sz w:val="18"/>
          <w:szCs w:val="18"/>
          <w14:ligatures w14:val="standardContextual"/>
        </w:rPr>
        <w:t>:</w:t>
      </w:r>
    </w:p>
    <w:p w14:paraId="4E59B2EE" w14:textId="77777777" w:rsidR="009B4BB3" w:rsidRPr="000F1506" w:rsidRDefault="009B4BB3" w:rsidP="009B4BB3">
      <w:pPr>
        <w:ind w:left="2160"/>
        <w:rPr>
          <w:rFonts w:eastAsia="Calibri"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i/>
          <w:iCs/>
          <w:kern w:val="2"/>
          <w:sz w:val="18"/>
          <w:szCs w:val="18"/>
          <w14:ligatures w14:val="standardContextual"/>
        </w:rPr>
        <w:t>Penalty payment only</w:t>
      </w:r>
    </w:p>
    <w:p w14:paraId="56721197" w14:textId="77777777" w:rsidR="000E7062" w:rsidRDefault="000E7062" w:rsidP="006B5D66">
      <w:pPr>
        <w:ind w:left="720"/>
        <w:rPr>
          <w:szCs w:val="24"/>
        </w:rPr>
      </w:pPr>
    </w:p>
    <w:p w14:paraId="13FC827D" w14:textId="41FAFBC2" w:rsidR="006B5D66" w:rsidRPr="00307D11" w:rsidRDefault="006B5D66" w:rsidP="006B5D66">
      <w:pPr>
        <w:ind w:left="720"/>
        <w:rPr>
          <w:szCs w:val="24"/>
        </w:rPr>
      </w:pPr>
      <w:r w:rsidRPr="00CF7003">
        <w:rPr>
          <w:szCs w:val="24"/>
        </w:rPr>
        <w:t>A motion to approve the consent order</w:t>
      </w:r>
      <w:r w:rsidR="000E7062">
        <w:rPr>
          <w:szCs w:val="24"/>
        </w:rPr>
        <w:t>s</w:t>
      </w:r>
      <w:r w:rsidRPr="00CF7003">
        <w:rPr>
          <w:szCs w:val="24"/>
        </w:rPr>
        <w:t xml:space="preserve"> as presented was made (</w:t>
      </w:r>
      <w:r w:rsidR="000E7062">
        <w:rPr>
          <w:szCs w:val="24"/>
        </w:rPr>
        <w:t>Noble</w:t>
      </w:r>
      <w:r w:rsidRPr="00CF7003">
        <w:rPr>
          <w:szCs w:val="24"/>
        </w:rPr>
        <w:t>), properly seconded (</w:t>
      </w:r>
      <w:r w:rsidR="009B4BB3">
        <w:rPr>
          <w:szCs w:val="24"/>
        </w:rPr>
        <w:t>Gellers</w:t>
      </w:r>
      <w:r w:rsidRPr="00CF7003">
        <w:rPr>
          <w:szCs w:val="24"/>
        </w:rPr>
        <w:t>) and approved by the body.</w:t>
      </w:r>
    </w:p>
    <w:p w14:paraId="07428BDB" w14:textId="77777777" w:rsidR="00307D11" w:rsidRDefault="00307D11" w:rsidP="00307D11">
      <w:pPr>
        <w:ind w:left="1440" w:firstLine="60"/>
        <w:rPr>
          <w:sz w:val="22"/>
        </w:rPr>
      </w:pPr>
    </w:p>
    <w:p w14:paraId="33623544" w14:textId="77777777" w:rsidR="006B5D66" w:rsidRDefault="006B5D66" w:rsidP="00307D11">
      <w:pPr>
        <w:ind w:left="720"/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</w:pPr>
    </w:p>
    <w:p w14:paraId="2684E900" w14:textId="621AA614" w:rsidR="00307D11" w:rsidRPr="006E22D5" w:rsidRDefault="00307D11" w:rsidP="00307D11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53EB5D1F" w14:textId="77777777" w:rsidR="00307D11" w:rsidRPr="006E22D5" w:rsidRDefault="00307D11" w:rsidP="00307D11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42004554" w14:textId="77777777" w:rsidR="009B4BB3" w:rsidRPr="000F1506" w:rsidRDefault="009B4BB3" w:rsidP="009B4BB3">
      <w:pPr>
        <w:pStyle w:val="ListParagraph"/>
        <w:numPr>
          <w:ilvl w:val="0"/>
          <w:numId w:val="6"/>
        </w:numPr>
        <w:ind w:left="1440"/>
        <w:jc w:val="both"/>
        <w:rPr>
          <w:rFonts w:eastAsia="Arial"/>
          <w:sz w:val="22"/>
        </w:rPr>
      </w:pPr>
      <w:bookmarkStart w:id="4" w:name="_Hlk192798654"/>
      <w:bookmarkEnd w:id="2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Finger Lake </w:t>
      </w:r>
      <w:proofErr w:type="spellStart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>Bldg</w:t>
      </w:r>
      <w:proofErr w:type="spellEnd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 E, LLC, Hillwood Development Company, LLC, Morgan Corp. of S.C., </w:t>
      </w:r>
      <w:r w:rsidRPr="000F1506">
        <w:rPr>
          <w:rFonts w:eastAsia="Times New Roman"/>
          <w:i/>
          <w:iCs/>
          <w:snapToGrid w:val="0"/>
          <w:sz w:val="22"/>
        </w:rPr>
        <w:t xml:space="preserve">[ESC-25-03] at 0 Normandy, </w:t>
      </w:r>
      <w:r w:rsidRPr="000F1506">
        <w:rPr>
          <w:rFonts w:eastAsia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1F707658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3878C4BE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  <w:u w:val="single"/>
        </w:rPr>
        <w:t>Corrective Actions:</w:t>
      </w:r>
    </w:p>
    <w:p w14:paraId="0C207E66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</w:rPr>
        <w:t xml:space="preserve">BMPs were improved. </w:t>
      </w:r>
    </w:p>
    <w:p w14:paraId="559DCC92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  <w:u w:val="single"/>
        </w:rPr>
      </w:pPr>
    </w:p>
    <w:p w14:paraId="21BDDBC0" w14:textId="77777777" w:rsidR="009B4BB3" w:rsidRPr="000F1506" w:rsidRDefault="009B4BB3" w:rsidP="009B4BB3">
      <w:pPr>
        <w:ind w:left="2160"/>
        <w:rPr>
          <w:i/>
          <w:iCs/>
          <w:sz w:val="18"/>
          <w:szCs w:val="18"/>
          <w:u w:val="single"/>
        </w:rPr>
      </w:pPr>
      <w:r w:rsidRPr="000F1506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0BA41F02" w14:textId="77777777" w:rsidR="009B4BB3" w:rsidRPr="000F1506" w:rsidRDefault="009B4BB3" w:rsidP="009B4BB3">
      <w:pPr>
        <w:ind w:left="2160"/>
        <w:rPr>
          <w:b/>
          <w:bCs/>
          <w:i/>
          <w:iCs/>
          <w:sz w:val="18"/>
          <w:szCs w:val="18"/>
        </w:rPr>
      </w:pPr>
      <w:r w:rsidRPr="000F1506">
        <w:rPr>
          <w:b/>
          <w:bCs/>
          <w:i/>
          <w:iCs/>
          <w:sz w:val="18"/>
          <w:szCs w:val="18"/>
        </w:rPr>
        <w:t>$3,500.00</w:t>
      </w:r>
    </w:p>
    <w:p w14:paraId="3246436E" w14:textId="77777777" w:rsidR="009B4BB3" w:rsidRPr="000F1506" w:rsidRDefault="009B4BB3" w:rsidP="009B4BB3">
      <w:pPr>
        <w:ind w:left="2160"/>
        <w:rPr>
          <w:i/>
          <w:iCs/>
          <w:sz w:val="18"/>
          <w:szCs w:val="18"/>
        </w:rPr>
      </w:pPr>
    </w:p>
    <w:p w14:paraId="4C95932D" w14:textId="77777777" w:rsidR="009B4BB3" w:rsidRPr="000F1506" w:rsidRDefault="009B4BB3" w:rsidP="009B4BB3">
      <w:pPr>
        <w:ind w:left="2160"/>
        <w:rPr>
          <w:i/>
          <w:iCs/>
          <w:sz w:val="18"/>
          <w:szCs w:val="18"/>
        </w:rPr>
      </w:pPr>
      <w:r w:rsidRPr="000F1506">
        <w:rPr>
          <w:i/>
          <w:iCs/>
          <w:sz w:val="18"/>
          <w:szCs w:val="18"/>
          <w:u w:val="single"/>
        </w:rPr>
        <w:t>Consent Order requirements</w:t>
      </w:r>
      <w:r w:rsidRPr="000F1506">
        <w:rPr>
          <w:i/>
          <w:iCs/>
          <w:sz w:val="18"/>
          <w:szCs w:val="18"/>
        </w:rPr>
        <w:t>:</w:t>
      </w:r>
    </w:p>
    <w:p w14:paraId="213BF260" w14:textId="77777777" w:rsidR="009B4BB3" w:rsidRPr="000F1506" w:rsidRDefault="009B4BB3" w:rsidP="009B4BB3">
      <w:pPr>
        <w:ind w:left="2160"/>
        <w:rPr>
          <w:i/>
          <w:iCs/>
          <w:sz w:val="18"/>
          <w:szCs w:val="18"/>
        </w:rPr>
      </w:pPr>
      <w:r w:rsidRPr="000F1506">
        <w:rPr>
          <w:i/>
          <w:iCs/>
          <w:sz w:val="18"/>
          <w:szCs w:val="18"/>
        </w:rPr>
        <w:t>Penalty payment only</w:t>
      </w:r>
    </w:p>
    <w:p w14:paraId="13CE1C3A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651D9E42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3C4D24DD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768C18C9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779FC370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47199999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3C264A70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24028BF2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10BF93EA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209A390C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578B4E4F" w14:textId="77777777" w:rsidR="009B4BB3" w:rsidRDefault="009B4BB3" w:rsidP="009B4BB3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16481B72" w14:textId="77777777" w:rsidR="009B4BB3" w:rsidRPr="000F1506" w:rsidRDefault="009B4BB3" w:rsidP="009B4BB3">
      <w:pPr>
        <w:pStyle w:val="ListParagraph"/>
        <w:numPr>
          <w:ilvl w:val="0"/>
          <w:numId w:val="6"/>
        </w:numPr>
        <w:ind w:left="1440"/>
        <w:jc w:val="both"/>
        <w:rPr>
          <w:rFonts w:eastAsia="Arial"/>
          <w:sz w:val="22"/>
        </w:rPr>
      </w:pPr>
      <w:r w:rsidRPr="000F1506">
        <w:rPr>
          <w:rFonts w:eastAsia="Calibri"/>
          <w:b/>
          <w:bCs/>
          <w:snapToGrid w:val="0"/>
          <w:sz w:val="22"/>
        </w:rPr>
        <w:t xml:space="preserve">Riverbank </w:t>
      </w:r>
      <w:proofErr w:type="spellStart"/>
      <w:r w:rsidRPr="000F1506">
        <w:rPr>
          <w:rFonts w:eastAsia="Calibri"/>
          <w:b/>
          <w:bCs/>
          <w:snapToGrid w:val="0"/>
          <w:sz w:val="22"/>
        </w:rPr>
        <w:t>Apts</w:t>
      </w:r>
      <w:proofErr w:type="spellEnd"/>
      <w:r w:rsidRPr="000F1506">
        <w:rPr>
          <w:rFonts w:eastAsia="Calibri"/>
          <w:b/>
          <w:bCs/>
          <w:snapToGrid w:val="0"/>
          <w:sz w:val="22"/>
        </w:rPr>
        <w:t xml:space="preserve"> LP and Riverbank </w:t>
      </w:r>
      <w:proofErr w:type="spellStart"/>
      <w:r w:rsidRPr="000F1506">
        <w:rPr>
          <w:rFonts w:eastAsia="Calibri"/>
          <w:b/>
          <w:bCs/>
          <w:snapToGrid w:val="0"/>
          <w:sz w:val="22"/>
        </w:rPr>
        <w:t>Apts</w:t>
      </w:r>
      <w:proofErr w:type="spellEnd"/>
      <w:r w:rsidRPr="000F1506">
        <w:rPr>
          <w:rFonts w:eastAsia="Calibri"/>
          <w:b/>
          <w:bCs/>
          <w:snapToGrid w:val="0"/>
          <w:sz w:val="22"/>
        </w:rPr>
        <w:t xml:space="preserve"> II LLC</w:t>
      </w:r>
      <w:r w:rsidRPr="000F1506">
        <w:rPr>
          <w:rFonts w:eastAsia="Calibri"/>
          <w:snapToGrid w:val="0"/>
          <w:sz w:val="22"/>
        </w:rPr>
        <w:t xml:space="preserve">, </w:t>
      </w:r>
      <w:r w:rsidRPr="000F1506">
        <w:rPr>
          <w:rFonts w:eastAsia="Calibri"/>
          <w:i/>
          <w:iCs/>
          <w:snapToGrid w:val="0"/>
          <w:sz w:val="22"/>
        </w:rPr>
        <w:t>[WP-24-09] at 1591 Lane Avenue South</w:t>
      </w:r>
      <w:r w:rsidRPr="000F1506">
        <w:rPr>
          <w:rFonts w:eastAsia="Calibri"/>
          <w:snapToGrid w:val="0"/>
          <w:sz w:val="22"/>
        </w:rPr>
        <w:t xml:space="preserve">, </w:t>
      </w:r>
      <w:r w:rsidRPr="000F1506">
        <w:rPr>
          <w:rFonts w:eastAsia="Arial"/>
          <w:sz w:val="22"/>
        </w:rPr>
        <w:t>Discharge of untreated wastewater to the ground, surrounding environment and stormwater system; Failure to operate and maintain the System to remain operational; Allowing untreated wastewater into the storm sewer system; Failure to secure Pump Station components; Failure to notify EQD of Discharge from the System; and Failure to provide required records.</w:t>
      </w:r>
    </w:p>
    <w:p w14:paraId="6751A9B8" w14:textId="77777777" w:rsidR="009B4BB3" w:rsidRDefault="009B4BB3" w:rsidP="009B4BB3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2E8F8B8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  <w:u w:val="single"/>
        </w:rPr>
        <w:t>Corrective Actions:</w:t>
      </w:r>
    </w:p>
    <w:sdt>
      <w:sdtPr>
        <w:rPr>
          <w:b/>
          <w:i/>
          <w:iCs/>
          <w:sz w:val="18"/>
          <w:szCs w:val="18"/>
        </w:rPr>
        <w:id w:val="-35578569"/>
        <w:placeholder>
          <w:docPart w:val="322F8C2C0FD340EBADE13815BAACF012"/>
        </w:placeholder>
      </w:sdtPr>
      <w:sdtEndPr>
        <w:rPr>
          <w:b w:val="0"/>
          <w:bCs/>
        </w:rPr>
      </w:sdtEndPr>
      <w:sdtContent>
        <w:p w14:paraId="7E9A94DD" w14:textId="77777777" w:rsidR="009B4BB3" w:rsidRPr="000F1506" w:rsidRDefault="009B4BB3" w:rsidP="009B4BB3">
          <w:pPr>
            <w:ind w:left="2160"/>
            <w:rPr>
              <w:bCs/>
              <w:i/>
              <w:iCs/>
              <w:sz w:val="18"/>
              <w:szCs w:val="18"/>
            </w:rPr>
          </w:pPr>
          <w:proofErr w:type="gramStart"/>
          <w:r w:rsidRPr="000F1506">
            <w:rPr>
              <w:bCs/>
              <w:i/>
              <w:iCs/>
              <w:sz w:val="18"/>
              <w:szCs w:val="18"/>
            </w:rPr>
            <w:t>Bypass</w:t>
          </w:r>
          <w:proofErr w:type="gramEnd"/>
          <w:r w:rsidRPr="000F1506">
            <w:rPr>
              <w:bCs/>
              <w:i/>
              <w:iCs/>
              <w:sz w:val="18"/>
              <w:szCs w:val="18"/>
            </w:rPr>
            <w:t xml:space="preserve"> pump was put in place and line was repaired</w:t>
          </w:r>
        </w:p>
      </w:sdtContent>
    </w:sdt>
    <w:p w14:paraId="0B4DE351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  <w:u w:val="single"/>
        </w:rPr>
      </w:pPr>
    </w:p>
    <w:p w14:paraId="461645CF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  <w:u w:val="single"/>
        </w:rPr>
      </w:pPr>
      <w:r w:rsidRPr="000F1506">
        <w:rPr>
          <w:bCs/>
          <w:i/>
          <w:iCs/>
          <w:sz w:val="18"/>
          <w:szCs w:val="18"/>
          <w:u w:val="single"/>
        </w:rPr>
        <w:t>ND response to alleged violation(s):</w:t>
      </w:r>
    </w:p>
    <w:p w14:paraId="5F80F68E" w14:textId="77777777" w:rsidR="009B4BB3" w:rsidRPr="000F1506" w:rsidRDefault="009B4BB3" w:rsidP="009B4BB3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</w:rPr>
        <w:t xml:space="preserve">Cease and Desist Citation </w:t>
      </w:r>
      <w:sdt>
        <w:sdtPr>
          <w:rPr>
            <w:bCs/>
            <w:i/>
            <w:iCs/>
            <w:sz w:val="18"/>
            <w:szCs w:val="18"/>
          </w:rPr>
          <w:id w:val="1034613695"/>
          <w:placeholder>
            <w:docPart w:val="3DB755DCC9FF43D1BABE1D66DC46DFD9"/>
          </w:placeholder>
        </w:sdtPr>
        <w:sdtContent>
          <w:r w:rsidRPr="000F1506">
            <w:rPr>
              <w:bCs/>
              <w:i/>
              <w:iCs/>
              <w:sz w:val="18"/>
              <w:szCs w:val="18"/>
            </w:rPr>
            <w:t>WP-24-09</w:t>
          </w:r>
        </w:sdtContent>
      </w:sdt>
      <w:r w:rsidRPr="000F1506">
        <w:rPr>
          <w:bCs/>
          <w:i/>
          <w:iCs/>
          <w:sz w:val="18"/>
          <w:szCs w:val="18"/>
        </w:rPr>
        <w:t xml:space="preserve"> issued</w:t>
      </w:r>
    </w:p>
    <w:p w14:paraId="717F960D" w14:textId="77777777" w:rsidR="009B4BB3" w:rsidRPr="000F1506" w:rsidRDefault="009B4BB3" w:rsidP="009B4BB3">
      <w:pPr>
        <w:ind w:left="2160"/>
        <w:rPr>
          <w:b/>
          <w:i/>
          <w:iCs/>
          <w:sz w:val="18"/>
          <w:szCs w:val="18"/>
        </w:rPr>
      </w:pPr>
    </w:p>
    <w:p w14:paraId="46AC6337" w14:textId="77777777" w:rsidR="009B4BB3" w:rsidRPr="000F1506" w:rsidRDefault="009B4BB3" w:rsidP="009B4BB3">
      <w:pPr>
        <w:ind w:left="2160"/>
        <w:rPr>
          <w:i/>
          <w:iCs/>
          <w:sz w:val="18"/>
          <w:szCs w:val="18"/>
          <w:u w:val="single"/>
        </w:rPr>
      </w:pPr>
      <w:r w:rsidRPr="000F1506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5E66FD6F" w14:textId="77777777" w:rsidR="009B4BB3" w:rsidRPr="000F1506" w:rsidRDefault="009B4BB3" w:rsidP="009B4BB3">
      <w:pPr>
        <w:ind w:left="2160"/>
        <w:rPr>
          <w:i/>
          <w:iCs/>
          <w:sz w:val="18"/>
          <w:szCs w:val="18"/>
        </w:rPr>
      </w:pPr>
      <w:r w:rsidRPr="000F1506">
        <w:rPr>
          <w:b/>
          <w:bCs/>
          <w:i/>
          <w:iCs/>
          <w:sz w:val="18"/>
          <w:szCs w:val="18"/>
        </w:rPr>
        <w:t>$14,000.00</w:t>
      </w:r>
      <w:r w:rsidRPr="000F1506">
        <w:rPr>
          <w:i/>
          <w:iCs/>
          <w:sz w:val="18"/>
          <w:szCs w:val="18"/>
        </w:rPr>
        <w:t xml:space="preserve"> but with the opportunity to offset penalty with the installation of telemetry</w:t>
      </w:r>
    </w:p>
    <w:p w14:paraId="30157DF7" w14:textId="77777777" w:rsidR="009B4BB3" w:rsidRPr="000F1506" w:rsidRDefault="009B4BB3" w:rsidP="009B4BB3">
      <w:pPr>
        <w:ind w:left="2160"/>
        <w:rPr>
          <w:i/>
          <w:iCs/>
          <w:sz w:val="18"/>
          <w:szCs w:val="18"/>
        </w:rPr>
      </w:pPr>
    </w:p>
    <w:p w14:paraId="438E431F" w14:textId="77777777" w:rsidR="009B4BB3" w:rsidRPr="000F1506" w:rsidRDefault="009B4BB3" w:rsidP="009B4BB3">
      <w:pPr>
        <w:ind w:left="2160"/>
        <w:rPr>
          <w:i/>
          <w:iCs/>
          <w:sz w:val="18"/>
          <w:szCs w:val="18"/>
        </w:rPr>
      </w:pPr>
      <w:r w:rsidRPr="000F1506">
        <w:rPr>
          <w:i/>
          <w:iCs/>
          <w:sz w:val="18"/>
          <w:szCs w:val="18"/>
          <w:u w:val="single"/>
        </w:rPr>
        <w:t>Consent Order requirements</w:t>
      </w:r>
      <w:r w:rsidRPr="000F1506">
        <w:rPr>
          <w:i/>
          <w:iCs/>
          <w:sz w:val="18"/>
          <w:szCs w:val="18"/>
        </w:rPr>
        <w:t>:</w:t>
      </w:r>
    </w:p>
    <w:p w14:paraId="43B1E6A9" w14:textId="77777777" w:rsidR="009B4BB3" w:rsidRPr="000F1506" w:rsidRDefault="009B4BB3" w:rsidP="009B4BB3">
      <w:pPr>
        <w:pStyle w:val="ListParagraph"/>
        <w:widowControl w:val="0"/>
        <w:numPr>
          <w:ilvl w:val="0"/>
          <w:numId w:val="22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30 days - Education campaign</w:t>
      </w:r>
    </w:p>
    <w:p w14:paraId="1AEAB88A" w14:textId="77777777" w:rsidR="009B4BB3" w:rsidRPr="000F1506" w:rsidRDefault="009B4BB3" w:rsidP="009B4BB3">
      <w:pPr>
        <w:pStyle w:val="ListParagraph"/>
        <w:widowControl w:val="0"/>
        <w:numPr>
          <w:ilvl w:val="0"/>
          <w:numId w:val="22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60 days – Engineering report</w:t>
      </w:r>
    </w:p>
    <w:p w14:paraId="39B64320" w14:textId="77777777" w:rsidR="009B4BB3" w:rsidRPr="000F1506" w:rsidRDefault="009B4BB3" w:rsidP="009B4BB3">
      <w:pPr>
        <w:pStyle w:val="ListParagraph"/>
        <w:widowControl w:val="0"/>
        <w:numPr>
          <w:ilvl w:val="0"/>
          <w:numId w:val="22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Monthly Status Updates</w:t>
      </w:r>
    </w:p>
    <w:p w14:paraId="2039F6EC" w14:textId="77777777" w:rsidR="009B4BB3" w:rsidRPr="000F1506" w:rsidRDefault="009B4BB3" w:rsidP="009B4BB3">
      <w:pPr>
        <w:pStyle w:val="ListParagraph"/>
        <w:widowControl w:val="0"/>
        <w:numPr>
          <w:ilvl w:val="0"/>
          <w:numId w:val="22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Monthly Maintenance Reports</w:t>
      </w:r>
    </w:p>
    <w:p w14:paraId="5377D938" w14:textId="77777777" w:rsidR="006B5D66" w:rsidRPr="00600EC3" w:rsidRDefault="006B5D66" w:rsidP="006B5D66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37D51E20" w14:textId="77777777" w:rsidR="006B5D66" w:rsidRPr="00600EC3" w:rsidRDefault="006B5D66" w:rsidP="006B5D66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2A5CDB90" w14:textId="3A904E9B" w:rsidR="00CF7003" w:rsidRDefault="00CF7003" w:rsidP="000E7062">
      <w:pPr>
        <w:rPr>
          <w:szCs w:val="24"/>
        </w:rPr>
      </w:pPr>
      <w:r w:rsidRPr="00CF7003">
        <w:rPr>
          <w:szCs w:val="24"/>
        </w:rPr>
        <w:t>A motion to approve the consent orders as presented was made (</w:t>
      </w:r>
      <w:r w:rsidR="009B4BB3">
        <w:rPr>
          <w:szCs w:val="24"/>
        </w:rPr>
        <w:t>Gellers</w:t>
      </w:r>
      <w:r w:rsidRPr="00CF7003">
        <w:rPr>
          <w:szCs w:val="24"/>
        </w:rPr>
        <w:t>), properly seconded (</w:t>
      </w:r>
      <w:r w:rsidR="009B4BB3">
        <w:rPr>
          <w:szCs w:val="24"/>
        </w:rPr>
        <w:t>Vest</w:t>
      </w:r>
      <w:r w:rsidRPr="00CF7003">
        <w:rPr>
          <w:szCs w:val="24"/>
        </w:rPr>
        <w:t>) and approved by the body.</w:t>
      </w:r>
    </w:p>
    <w:p w14:paraId="64553A80" w14:textId="77777777" w:rsidR="000E7062" w:rsidRPr="00CF7003" w:rsidRDefault="000E7062" w:rsidP="000E7062">
      <w:pPr>
        <w:rPr>
          <w:szCs w:val="24"/>
        </w:rPr>
      </w:pPr>
    </w:p>
    <w:bookmarkEnd w:id="4"/>
    <w:p w14:paraId="6EABBC9F" w14:textId="77777777" w:rsidR="00CF7003" w:rsidRDefault="00CF7003" w:rsidP="009E3054">
      <w:pPr>
        <w:ind w:left="2160"/>
        <w:rPr>
          <w:sz w:val="18"/>
          <w:szCs w:val="18"/>
        </w:rPr>
      </w:pPr>
    </w:p>
    <w:bookmarkEnd w:id="3"/>
    <w:p w14:paraId="7DFB4EF4" w14:textId="747ACF0A" w:rsidR="00B14080" w:rsidRPr="009F0BBC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lastRenderedPageBreak/>
        <w:t>E</w:t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NFORCEMENT REPORT </w:t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ab/>
      </w:r>
      <w:r w:rsidR="000E7062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MELISSA LONG</w:t>
      </w:r>
    </w:p>
    <w:p w14:paraId="2D10E366" w14:textId="16E4B998" w:rsidR="00B14080" w:rsidRDefault="00B14080" w:rsidP="00B14080">
      <w:pPr>
        <w:keepNext/>
        <w:keepLines/>
        <w:spacing w:before="40"/>
        <w:outlineLvl w:val="1"/>
        <w:rPr>
          <w:rFonts w:eastAsiaTheme="majorEastAsia" w:cs="Arial"/>
          <w:szCs w:val="24"/>
        </w:rPr>
      </w:pPr>
      <w:r>
        <w:rPr>
          <w:rFonts w:eastAsiaTheme="majorEastAsia" w:cs="Arial"/>
          <w:szCs w:val="24"/>
        </w:rPr>
        <w:t>There were no questions or concerns.</w:t>
      </w:r>
    </w:p>
    <w:p w14:paraId="7BF08429" w14:textId="77777777" w:rsidR="00B14080" w:rsidRDefault="00B14080" w:rsidP="00B14080">
      <w:pPr>
        <w:keepNext/>
        <w:keepLines/>
        <w:spacing w:before="40"/>
        <w:outlineLvl w:val="1"/>
        <w:rPr>
          <w:rFonts w:eastAsiaTheme="majorEastAsia" w:cs="Arial"/>
          <w:szCs w:val="24"/>
        </w:rPr>
      </w:pPr>
    </w:p>
    <w:p w14:paraId="550B1D5E" w14:textId="77777777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bookmarkStart w:id="5" w:name="_Hlk179811044"/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NEW BUSINESS</w:t>
      </w:r>
    </w:p>
    <w:p w14:paraId="2EB3E8A6" w14:textId="38CAE63B" w:rsidR="002015C4" w:rsidRDefault="000E7062" w:rsidP="002015C4">
      <w:pPr>
        <w:keepNext/>
        <w:keepLines/>
        <w:numPr>
          <w:ilvl w:val="1"/>
          <w:numId w:val="5"/>
        </w:numPr>
        <w:ind w:left="720"/>
        <w:outlineLvl w:val="0"/>
        <w:rPr>
          <w:rFonts w:eastAsiaTheme="majorEastAsia" w:cs="Arial"/>
          <w:sz w:val="22"/>
        </w:rPr>
      </w:pPr>
      <w:bookmarkStart w:id="6" w:name="_Hlk197422338"/>
      <w:bookmarkEnd w:id="5"/>
      <w:r>
        <w:rPr>
          <w:rFonts w:eastAsiaTheme="majorEastAsia" w:cs="Arial"/>
          <w:sz w:val="22"/>
        </w:rPr>
        <w:t>None</w:t>
      </w:r>
    </w:p>
    <w:bookmarkEnd w:id="6"/>
    <w:p w14:paraId="411F4CF3" w14:textId="77777777" w:rsidR="002015C4" w:rsidRDefault="002015C4" w:rsidP="002015C4">
      <w:pPr>
        <w:keepNext/>
        <w:keepLines/>
        <w:outlineLvl w:val="0"/>
        <w:rPr>
          <w:rFonts w:eastAsiaTheme="majorEastAsia" w:cs="Arial"/>
          <w:sz w:val="22"/>
        </w:rPr>
      </w:pPr>
    </w:p>
    <w:p w14:paraId="50F0C856" w14:textId="77777777" w:rsidR="004670D2" w:rsidRDefault="004670D2" w:rsidP="004670D2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OLD</w:t>
      </w: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BUSINESS</w:t>
      </w:r>
    </w:p>
    <w:p w14:paraId="79DBA6EF" w14:textId="77777777" w:rsidR="000E7062" w:rsidRDefault="000E7062" w:rsidP="000E7062">
      <w:pPr>
        <w:keepNext/>
        <w:keepLines/>
        <w:numPr>
          <w:ilvl w:val="1"/>
          <w:numId w:val="5"/>
        </w:numPr>
        <w:ind w:left="720"/>
        <w:outlineLvl w:val="0"/>
        <w:rPr>
          <w:rFonts w:eastAsiaTheme="majorEastAsia" w:cs="Arial"/>
          <w:sz w:val="22"/>
        </w:rPr>
      </w:pPr>
      <w:bookmarkStart w:id="7" w:name="_Hlk197422382"/>
      <w:r>
        <w:rPr>
          <w:rFonts w:eastAsiaTheme="majorEastAsia" w:cs="Arial"/>
          <w:sz w:val="22"/>
        </w:rPr>
        <w:t>None</w:t>
      </w:r>
    </w:p>
    <w:bookmarkEnd w:id="7"/>
    <w:p w14:paraId="0A75D1BE" w14:textId="77777777" w:rsidR="004670D2" w:rsidRDefault="004670D2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64CADF32" w14:textId="4F299CEB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F0BBC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PRESENTATION(s)</w:t>
      </w:r>
      <w:bookmarkStart w:id="8" w:name="_Hlk92377225"/>
    </w:p>
    <w:bookmarkEnd w:id="8"/>
    <w:p w14:paraId="6F66B6BC" w14:textId="3C32721E" w:rsidR="00997703" w:rsidRDefault="00997703" w:rsidP="00997703">
      <w:pPr>
        <w:pStyle w:val="ListParagraph"/>
        <w:keepNext/>
        <w:keepLines/>
        <w:numPr>
          <w:ilvl w:val="0"/>
          <w:numId w:val="6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Miller Creek Fecal Indicator Bacteria Study</w:t>
      </w:r>
    </w:p>
    <w:p w14:paraId="14E0EC1A" w14:textId="77777777" w:rsidR="00997703" w:rsidRDefault="00997703" w:rsidP="00997703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57C82FA9" w14:textId="77777777" w:rsidR="00EB2527" w:rsidRDefault="00997703" w:rsidP="00997703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Water Quality Branch Manager Terry Carr provided background information and introduced Kiyah Powell and Rayana Renault.  They shared information gathered through a variety of methods</w:t>
      </w:r>
      <w:r w:rsidR="00EB252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along with some general observations and recommendations.  </w:t>
      </w:r>
    </w:p>
    <w:p w14:paraId="6DEEC806" w14:textId="77777777" w:rsidR="00EB2527" w:rsidRDefault="00EB2527" w:rsidP="00997703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399A0248" w14:textId="24F9429F" w:rsidR="00EB2527" w:rsidRDefault="00EB2527" w:rsidP="00997703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JEPB members commended the staff for the study and encouraged more like this to be conducted.  </w:t>
      </w:r>
      <w:r w:rsidR="000D65B8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There was discussion of potential sources with much focus on fecal cat colonies.  It was </w:t>
      </w:r>
      <w:r w:rsidR="00C34286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suggested that the Water Committee have some discussion around public education campaigns on pollution sources, including fecal cats.  </w:t>
      </w:r>
      <w:proofErr w:type="gramStart"/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During</w:t>
      </w:r>
      <w:proofErr w:type="gramEnd"/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discussion, there was consensus support for correspondence to be sent to JEA expressing appreciation to JEA for partnerships and asking for them to consider </w:t>
      </w:r>
      <w:proofErr w:type="spellStart"/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CCTVing</w:t>
      </w:r>
      <w:proofErr w:type="spellEnd"/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the lines </w:t>
      </w:r>
      <w:proofErr w:type="gramStart"/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in the area of</w:t>
      </w:r>
      <w:proofErr w:type="gramEnd"/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the study.</w:t>
      </w:r>
    </w:p>
    <w:p w14:paraId="6CB6BDC0" w14:textId="18F2E724" w:rsidR="00997703" w:rsidRDefault="00997703" w:rsidP="00997703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</w:t>
      </w:r>
    </w:p>
    <w:p w14:paraId="2F586A89" w14:textId="6DFBC94E" w:rsidR="00997703" w:rsidRDefault="00997703" w:rsidP="00997703">
      <w:pPr>
        <w:pStyle w:val="ListParagraph"/>
        <w:keepNext/>
        <w:keepLines/>
        <w:numPr>
          <w:ilvl w:val="0"/>
          <w:numId w:val="6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JEA Project Updates and Readiness – June Meeting</w:t>
      </w:r>
    </w:p>
    <w:p w14:paraId="509D7A0E" w14:textId="4394187D" w:rsidR="000E7062" w:rsidRDefault="000E7062" w:rsidP="000E7062">
      <w:pPr>
        <w:pStyle w:val="ListParagraph"/>
        <w:keepNext/>
        <w:keepLines/>
        <w:numPr>
          <w:ilvl w:val="0"/>
          <w:numId w:val="6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Groundwork Jacksonville – Update on McCoys Creek Branches Water Quality – </w:t>
      </w:r>
      <w:r w:rsidR="00997703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July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meeting</w:t>
      </w:r>
    </w:p>
    <w:p w14:paraId="12A5BAA3" w14:textId="77777777" w:rsidR="00A02D41" w:rsidRDefault="00A02D41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5F5AC4A1" w14:textId="5AEB5EEE" w:rsidR="00B14080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PUBLIC HEARING(s)</w:t>
      </w:r>
    </w:p>
    <w:p w14:paraId="392D1A3F" w14:textId="77777777" w:rsidR="000E7062" w:rsidRDefault="000E7062" w:rsidP="000E7062">
      <w:pPr>
        <w:keepNext/>
        <w:keepLines/>
        <w:numPr>
          <w:ilvl w:val="1"/>
          <w:numId w:val="5"/>
        </w:numPr>
        <w:ind w:left="720"/>
        <w:outlineLvl w:val="0"/>
        <w:rPr>
          <w:rFonts w:eastAsiaTheme="majorEastAsia" w:cs="Arial"/>
          <w:sz w:val="22"/>
        </w:rPr>
      </w:pPr>
      <w:r>
        <w:rPr>
          <w:rFonts w:eastAsiaTheme="majorEastAsia" w:cs="Arial"/>
          <w:sz w:val="22"/>
        </w:rPr>
        <w:t>None</w:t>
      </w:r>
    </w:p>
    <w:p w14:paraId="1273B47E" w14:textId="77777777" w:rsidR="00B14080" w:rsidRPr="00937E1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p w14:paraId="16D30607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70526F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COMMISSION &amp; JEPB COMMITTEE UPDATES</w:t>
      </w:r>
    </w:p>
    <w:p w14:paraId="389B02A0" w14:textId="52B49F3D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Waterways Commission</w:t>
      </w:r>
      <w:r w:rsidRPr="00B06508">
        <w:rPr>
          <w:sz w:val="22"/>
        </w:rPr>
        <w:t xml:space="preserve"> – </w:t>
      </w:r>
      <w:r w:rsidR="00EB2527">
        <w:rPr>
          <w:sz w:val="22"/>
        </w:rPr>
        <w:t>Chief Long shared that it was mentioned that the COJ has received a $120,000 grant for an artificial reef from the FWC</w:t>
      </w:r>
      <w:r w:rsidR="001623E4">
        <w:rPr>
          <w:sz w:val="22"/>
        </w:rPr>
        <w:t>.</w:t>
      </w:r>
    </w:p>
    <w:p w14:paraId="2DC083ED" w14:textId="76E56DD9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KJB Commission</w:t>
      </w:r>
      <w:r w:rsidRPr="00B06508">
        <w:rPr>
          <w:sz w:val="22"/>
        </w:rPr>
        <w:t xml:space="preserve"> – </w:t>
      </w:r>
      <w:r w:rsidR="00EB2527">
        <w:rPr>
          <w:sz w:val="22"/>
        </w:rPr>
        <w:t xml:space="preserve">Chief Long shared that a new </w:t>
      </w:r>
      <w:r w:rsidR="000D65B8">
        <w:rPr>
          <w:sz w:val="22"/>
        </w:rPr>
        <w:t>newsletter was recently developed and distributed.</w:t>
      </w:r>
    </w:p>
    <w:p w14:paraId="4D91DFBB" w14:textId="088A5802" w:rsidR="00B14080" w:rsidRPr="00B06508" w:rsidRDefault="00B14080" w:rsidP="00B14080">
      <w:pPr>
        <w:numPr>
          <w:ilvl w:val="0"/>
          <w:numId w:val="3"/>
        </w:numPr>
        <w:ind w:left="720" w:hanging="360"/>
        <w:contextualSpacing/>
        <w:rPr>
          <w:sz w:val="22"/>
        </w:rPr>
      </w:pPr>
      <w:r w:rsidRPr="00B06508">
        <w:rPr>
          <w:b/>
          <w:bCs/>
          <w:sz w:val="22"/>
        </w:rPr>
        <w:t>JEPB Water Committee</w:t>
      </w:r>
      <w:r w:rsidRPr="00B06508">
        <w:rPr>
          <w:sz w:val="22"/>
        </w:rPr>
        <w:t xml:space="preserve"> –</w:t>
      </w:r>
      <w:r>
        <w:rPr>
          <w:sz w:val="22"/>
        </w:rPr>
        <w:t xml:space="preserve"> </w:t>
      </w:r>
      <w:r w:rsidR="004B47F0">
        <w:rPr>
          <w:sz w:val="22"/>
        </w:rPr>
        <w:t>Terry Carr</w:t>
      </w:r>
      <w:r>
        <w:rPr>
          <w:sz w:val="22"/>
        </w:rPr>
        <w:t xml:space="preserve"> discussed information from the Water Branch report and responded to member questions.  </w:t>
      </w:r>
    </w:p>
    <w:p w14:paraId="7040F175" w14:textId="1EDF3779" w:rsidR="00B14080" w:rsidRPr="000D65B8" w:rsidRDefault="00B14080" w:rsidP="00B14080">
      <w:pPr>
        <w:numPr>
          <w:ilvl w:val="0"/>
          <w:numId w:val="3"/>
        </w:numPr>
        <w:ind w:left="720" w:hanging="360"/>
        <w:contextualSpacing/>
      </w:pPr>
      <w:r w:rsidRPr="006D2247">
        <w:rPr>
          <w:b/>
          <w:bCs/>
          <w:sz w:val="22"/>
        </w:rPr>
        <w:t>JEPB Air Committee</w:t>
      </w:r>
      <w:r w:rsidRPr="006D2247">
        <w:rPr>
          <w:sz w:val="22"/>
        </w:rPr>
        <w:t xml:space="preserve"> – </w:t>
      </w:r>
      <w:r w:rsidR="004B47F0">
        <w:rPr>
          <w:sz w:val="22"/>
        </w:rPr>
        <w:t>Mike Williams</w:t>
      </w:r>
      <w:r>
        <w:rPr>
          <w:sz w:val="22"/>
        </w:rPr>
        <w:t xml:space="preserve"> discussed information from the Air Branch report and responded to member questions.</w:t>
      </w:r>
      <w:r w:rsidR="000D65B8">
        <w:rPr>
          <w:sz w:val="22"/>
        </w:rPr>
        <w:t xml:space="preserve">  Member Gellers shared that he has attended the FDEP permit meeting for IFF and was pleased that he was joined by over a dozen residents</w:t>
      </w:r>
      <w:r w:rsidR="000D65B8" w:rsidRPr="000D65B8">
        <w:t>.</w:t>
      </w:r>
      <w:r w:rsidR="000D65B8">
        <w:t xml:space="preserve">  He shared that if the FDEP permit is approved an additional method for IFF to report to the </w:t>
      </w:r>
      <w:proofErr w:type="gramStart"/>
      <w:r w:rsidR="000D65B8">
        <w:t>City</w:t>
      </w:r>
      <w:proofErr w:type="gramEnd"/>
      <w:r w:rsidR="000D65B8">
        <w:t xml:space="preserve"> would be included.</w:t>
      </w:r>
    </w:p>
    <w:p w14:paraId="49F9DC23" w14:textId="77777777" w:rsidR="000D65B8" w:rsidRPr="002E78B8" w:rsidRDefault="000D65B8" w:rsidP="000D65B8">
      <w:pPr>
        <w:ind w:left="720"/>
        <w:contextualSpacing/>
      </w:pPr>
    </w:p>
    <w:p w14:paraId="010D503F" w14:textId="77777777" w:rsidR="002E78B8" w:rsidRDefault="002E78B8" w:rsidP="002E78B8">
      <w:pPr>
        <w:ind w:left="720"/>
        <w:contextualSpacing/>
        <w:rPr>
          <w:b/>
          <w:bCs/>
          <w:sz w:val="22"/>
        </w:rPr>
      </w:pPr>
    </w:p>
    <w:p w14:paraId="067BFE42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EPB ADMINISTRATOR REPORT </w:t>
      </w:r>
    </w:p>
    <w:p w14:paraId="5DD5DB0E" w14:textId="7B7AE975" w:rsidR="00B14080" w:rsidRDefault="001F6819" w:rsidP="00A76381">
      <w:pPr>
        <w:rPr>
          <w:szCs w:val="24"/>
        </w:rPr>
      </w:pPr>
      <w:r>
        <w:rPr>
          <w:szCs w:val="24"/>
        </w:rPr>
        <w:t xml:space="preserve">Mr. Richardson </w:t>
      </w:r>
      <w:r w:rsidR="000D65B8">
        <w:rPr>
          <w:szCs w:val="24"/>
        </w:rPr>
        <w:t xml:space="preserve">again </w:t>
      </w:r>
      <w:r w:rsidR="001623E4">
        <w:rPr>
          <w:szCs w:val="24"/>
        </w:rPr>
        <w:t xml:space="preserve">shared that elections would be taking place at the September meeting and now was the time to begin thinking about leadership.  Positions of Chair and Vice-Chair will be </w:t>
      </w:r>
      <w:r w:rsidR="00E0170B">
        <w:rPr>
          <w:szCs w:val="24"/>
        </w:rPr>
        <w:t xml:space="preserve">voted on.  </w:t>
      </w:r>
      <w:r w:rsidR="000D65B8">
        <w:rPr>
          <w:szCs w:val="24"/>
        </w:rPr>
        <w:t xml:space="preserve">He mentioned there would likely be two variances for consideration at the June meeting.  He closed with noting that in August, there would be a vacancy on the JEPB in the Affected Industry position and encouraged anyone with ideas of potential candidates to contact him. </w:t>
      </w:r>
    </w:p>
    <w:p w14:paraId="76241CEB" w14:textId="77777777" w:rsidR="00E0170B" w:rsidRDefault="00E0170B" w:rsidP="00A76381">
      <w:pPr>
        <w:rPr>
          <w:szCs w:val="24"/>
        </w:rPr>
      </w:pPr>
    </w:p>
    <w:p w14:paraId="1BFCD474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ENVIRONMENTAL QUALITY DIVISION REPORT</w:t>
      </w:r>
    </w:p>
    <w:p w14:paraId="4D6F2874" w14:textId="26FA75D4" w:rsidR="00B14080" w:rsidRPr="00C94450" w:rsidRDefault="00E0170B" w:rsidP="00B14080">
      <w:pPr>
        <w:rPr>
          <w:szCs w:val="24"/>
        </w:rPr>
      </w:pPr>
      <w:r>
        <w:rPr>
          <w:szCs w:val="24"/>
        </w:rPr>
        <w:t>No report.</w:t>
      </w:r>
    </w:p>
    <w:p w14:paraId="3C6FBA77" w14:textId="77777777" w:rsidR="00B14080" w:rsidRDefault="00B14080" w:rsidP="00B14080">
      <w:pPr>
        <w:rPr>
          <w:sz w:val="22"/>
        </w:rPr>
      </w:pPr>
    </w:p>
    <w:p w14:paraId="25513648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ITEMS REFERRED TO COMMITTEES</w:t>
      </w:r>
    </w:p>
    <w:p w14:paraId="379C33D6" w14:textId="0F7ADD73" w:rsidR="00B14080" w:rsidRPr="00B06508" w:rsidRDefault="00C34286" w:rsidP="00B14080">
      <w:pPr>
        <w:contextualSpacing/>
      </w:pPr>
      <w:r>
        <w:t>Water Committee - Public education campaign around pollution sources especially around fecal cats.</w:t>
      </w:r>
    </w:p>
    <w:p w14:paraId="7E7D5DBF" w14:textId="77777777" w:rsidR="00B14080" w:rsidRDefault="00B14080" w:rsidP="00B14080">
      <w:pPr>
        <w:rPr>
          <w:sz w:val="22"/>
        </w:rPr>
      </w:pPr>
    </w:p>
    <w:p w14:paraId="2A8273C1" w14:textId="77777777" w:rsidR="00B14080" w:rsidRPr="00B06508" w:rsidRDefault="00B14080" w:rsidP="00B14080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0650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NEXT SCHEDULED BOARD MEETING(s) </w:t>
      </w:r>
    </w:p>
    <w:p w14:paraId="5E69CE5E" w14:textId="77777777" w:rsidR="001623E4" w:rsidRDefault="001623E4" w:rsidP="001623E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1C1EE576" w14:textId="77777777" w:rsidR="001623E4" w:rsidRPr="00F53364" w:rsidRDefault="001623E4" w:rsidP="001623E4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Water Committee – TBD</w:t>
      </w:r>
    </w:p>
    <w:p w14:paraId="68559643" w14:textId="77777777" w:rsidR="001623E4" w:rsidRDefault="001623E4" w:rsidP="001623E4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Air Committee – TBD</w:t>
      </w:r>
    </w:p>
    <w:p w14:paraId="36728399" w14:textId="6E1CF626" w:rsidR="001623E4" w:rsidRPr="00DF6E1B" w:rsidRDefault="001623E4" w:rsidP="001623E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C34286">
        <w:rPr>
          <w:rFonts w:ascii="Century Gothic" w:hAnsi="Century Gothic" w:cs="Century Gothic"/>
          <w:sz w:val="22"/>
        </w:rPr>
        <w:t>June 9</w:t>
      </w:r>
      <w:r w:rsidRPr="00DF6E1B">
        <w:rPr>
          <w:rFonts w:ascii="Century Gothic" w:hAnsi="Century Gothic" w:cs="Century Gothic"/>
          <w:sz w:val="22"/>
        </w:rPr>
        <w:t>, 2025, at 4:00 pm</w:t>
      </w:r>
    </w:p>
    <w:p w14:paraId="622F56B4" w14:textId="74A5B591" w:rsidR="001623E4" w:rsidRDefault="001623E4" w:rsidP="001623E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>
        <w:rPr>
          <w:rFonts w:ascii="Century Gothic" w:hAnsi="Century Gothic" w:cs="Century Gothic"/>
          <w:sz w:val="22"/>
        </w:rPr>
        <w:t xml:space="preserve">Monday, </w:t>
      </w:r>
      <w:r w:rsidR="00C34286">
        <w:rPr>
          <w:rFonts w:ascii="Century Gothic" w:hAnsi="Century Gothic" w:cs="Century Gothic"/>
          <w:sz w:val="22"/>
        </w:rPr>
        <w:t>June 16</w:t>
      </w:r>
      <w:r>
        <w:rPr>
          <w:rFonts w:ascii="Century Gothic" w:hAnsi="Century Gothic" w:cs="Century Gothic"/>
          <w:sz w:val="22"/>
        </w:rPr>
        <w:t>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1510C602" w14:textId="77777777" w:rsidR="00B14080" w:rsidRPr="00C94450" w:rsidRDefault="00B14080" w:rsidP="00B14080">
      <w:pPr>
        <w:rPr>
          <w:rFonts w:cs="Arial"/>
          <w:szCs w:val="24"/>
        </w:rPr>
      </w:pPr>
    </w:p>
    <w:p w14:paraId="37F05020" w14:textId="07C95796" w:rsidR="00487293" w:rsidRDefault="00B14080" w:rsidP="00AB3BE7">
      <w:pPr>
        <w:rPr>
          <w:rFonts w:cs="Arial"/>
          <w:szCs w:val="24"/>
        </w:rPr>
      </w:pPr>
      <w:r w:rsidRPr="00C94450">
        <w:rPr>
          <w:rFonts w:cs="Arial"/>
          <w:szCs w:val="24"/>
        </w:rPr>
        <w:t xml:space="preserve">The meeting was adjourned at </w:t>
      </w:r>
      <w:r w:rsidR="00C34286">
        <w:rPr>
          <w:rFonts w:cs="Arial"/>
          <w:szCs w:val="24"/>
        </w:rPr>
        <w:t>6:08</w:t>
      </w:r>
      <w:r w:rsidR="00836CBE">
        <w:rPr>
          <w:rFonts w:cs="Arial"/>
          <w:szCs w:val="24"/>
        </w:rPr>
        <w:t xml:space="preserve"> </w:t>
      </w:r>
      <w:r w:rsidRPr="00C94450">
        <w:rPr>
          <w:rFonts w:cs="Arial"/>
          <w:szCs w:val="24"/>
        </w:rPr>
        <w:t xml:space="preserve">pm.  </w:t>
      </w:r>
    </w:p>
    <w:p w14:paraId="274CEF19" w14:textId="77777777" w:rsidR="00B50FC3" w:rsidRDefault="00B50FC3" w:rsidP="00AB3BE7">
      <w:pPr>
        <w:rPr>
          <w:rFonts w:cs="Arial"/>
          <w:szCs w:val="24"/>
        </w:rPr>
      </w:pPr>
    </w:p>
    <w:sectPr w:rsidR="00B50FC3" w:rsidSect="008B5A7B"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3F91" w14:textId="77777777" w:rsidR="00BB5C12" w:rsidRDefault="00BB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6AD1" w14:textId="77777777" w:rsidR="00BB5C12" w:rsidRDefault="00BB5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C38" w14:textId="77777777" w:rsidR="00BB5C12" w:rsidRDefault="00BB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38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436"/>
      <w:gridCol w:w="9560"/>
      <w:gridCol w:w="10836"/>
    </w:tblGrid>
    <w:tr w:rsidR="00EE60EB" w14:paraId="6A0EED15" w14:textId="77777777" w:rsidTr="00B14080">
      <w:trPr>
        <w:tblHeader/>
      </w:trPr>
      <w:tc>
        <w:tcPr>
          <w:tcW w:w="2790" w:type="dxa"/>
        </w:tcPr>
        <w:p w14:paraId="65BFFBCC" w14:textId="77777777" w:rsidR="00EE60EB" w:rsidRDefault="00EE60EB" w:rsidP="00EE60EB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inline distT="0" distB="0" distL="0" distR="0" wp14:anchorId="213C4D74" wp14:editId="4AD87DF1">
                <wp:extent cx="1409700" cy="173008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07" cy="174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tbl>
          <w:tblPr>
            <w:tblStyle w:val="TableGrid"/>
            <w:tblW w:w="934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35"/>
            <w:gridCol w:w="2709"/>
          </w:tblGrid>
          <w:tr w:rsidR="00EE60EB" w:rsidRPr="00BF0308" w14:paraId="3766DB43" w14:textId="77777777" w:rsidTr="00EE60EB">
            <w:trPr>
              <w:trHeight w:val="2781"/>
              <w:tblHeader/>
            </w:trPr>
            <w:tc>
              <w:tcPr>
                <w:tcW w:w="6635" w:type="dxa"/>
              </w:tcPr>
              <w:p w14:paraId="41077539" w14:textId="77777777" w:rsidR="00EE60EB" w:rsidRPr="00BF0308" w:rsidRDefault="00EE60EB" w:rsidP="00EE60EB">
                <w:pPr>
                  <w:pStyle w:val="Header"/>
                  <w:spacing w:after="480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5628DA4E" w14:textId="3B187915" w:rsidR="00EE60EB" w:rsidRPr="00BF0308" w:rsidRDefault="00EE60EB" w:rsidP="00EE60EB">
                <w:pPr>
                  <w:pStyle w:val="Header"/>
                  <w:spacing w:after="480"/>
                  <w:ind w:right="796"/>
                  <w:jc w:val="cent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20"/>
                    <w:szCs w:val="20"/>
                  </w:rPr>
                  <w:t>Jacksonville Environmental Protection Board Members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Thomas Deck -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Vice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Megan Ferer, Josh Gellers, Ph.D., Desiree C. Jones, LMHC, Sunil Joshi, </w:t>
                </w:r>
                <w:proofErr w:type="gramStart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MD, </w:t>
                </w:r>
                <w:r>
                  <w:rPr>
                    <w:color w:val="1F497D" w:themeColor="text2"/>
                    <w:sz w:val="16"/>
                    <w:szCs w:val="16"/>
                  </w:rPr>
                  <w:t xml:space="preserve">  </w:t>
                </w:r>
                <w:proofErr w:type="gramEnd"/>
                <w:r>
                  <w:rPr>
                    <w:color w:val="1F497D" w:themeColor="text2"/>
                    <w:sz w:val="16"/>
                    <w:szCs w:val="16"/>
                  </w:rPr>
                  <w:t xml:space="preserve">                                 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t>Clint Noble, P.G., Guillermo Simon, P.E., Margarete Vest, P.E.</w:t>
                </w:r>
              </w:p>
            </w:tc>
            <w:tc>
              <w:tcPr>
                <w:tcW w:w="2709" w:type="dxa"/>
              </w:tcPr>
              <w:p w14:paraId="784BD0ED" w14:textId="77777777" w:rsidR="00EE60EB" w:rsidRPr="00BF0308" w:rsidRDefault="00EE60EB" w:rsidP="00EE60EB">
                <w:pPr>
                  <w:pStyle w:val="Header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0F9B1833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Air Odor Noise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Clint Noble, P.G.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Josh Gellers, Ph.D. </w:t>
                </w:r>
              </w:p>
              <w:p w14:paraId="4BFC18FE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Megan Ferer</w:t>
                </w:r>
              </w:p>
              <w:p w14:paraId="2157B885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Sunil Joshi, MD</w:t>
                </w:r>
              </w:p>
              <w:p w14:paraId="3D4E7D8A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</w:r>
              </w:p>
              <w:p w14:paraId="0732EBF5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Water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Megan Ferer</w:t>
                </w:r>
              </w:p>
              <w:p w14:paraId="4792BACB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Desiree Jones, LMHC</w:t>
                </w:r>
              </w:p>
              <w:p w14:paraId="6314DEB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Guillermo Simon, P.E.</w:t>
                </w:r>
              </w:p>
              <w:p w14:paraId="32B07AE1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</w:p>
            </w:tc>
          </w:tr>
        </w:tbl>
        <w:p w14:paraId="550E9DF8" w14:textId="6664B883" w:rsidR="00EE60EB" w:rsidRPr="00D03439" w:rsidRDefault="00EE60EB" w:rsidP="00EE60EB">
          <w:pPr>
            <w:pStyle w:val="Header"/>
            <w:spacing w:after="480"/>
            <w:rPr>
              <w:noProof/>
              <w:color w:val="1F497D" w:themeColor="text2"/>
              <w:sz w:val="16"/>
              <w:szCs w:val="16"/>
            </w:rPr>
          </w:pPr>
        </w:p>
      </w:tc>
      <w:tc>
        <w:tcPr>
          <w:tcW w:w="2988" w:type="dxa"/>
        </w:tcPr>
        <w:tbl>
          <w:tblPr>
            <w:tblStyle w:val="TableGrid"/>
            <w:tblW w:w="106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40"/>
            <w:gridCol w:w="3080"/>
          </w:tblGrid>
          <w:tr w:rsidR="00EE60EB" w:rsidRPr="00BF0308" w14:paraId="24F8D059" w14:textId="77777777" w:rsidTr="00440B9A">
            <w:trPr>
              <w:trHeight w:val="2790"/>
              <w:tblHeader/>
            </w:trPr>
            <w:tc>
              <w:tcPr>
                <w:tcW w:w="5508" w:type="dxa"/>
              </w:tcPr>
              <w:p w14:paraId="7FF664CA" w14:textId="77777777" w:rsidR="00EE60EB" w:rsidRPr="00BF0308" w:rsidRDefault="00EE60EB" w:rsidP="00EE60EB">
                <w:pPr>
                  <w:pStyle w:val="Header"/>
                  <w:spacing w:after="480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2A859637" w14:textId="77777777" w:rsidR="00EE60EB" w:rsidRPr="00BF0308" w:rsidRDefault="00EE60EB" w:rsidP="00EE60EB">
                <w:pPr>
                  <w:pStyle w:val="Header"/>
                  <w:spacing w:after="480"/>
                  <w:jc w:val="center"/>
                  <w:rPr>
                    <w:noProof/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20"/>
                    <w:szCs w:val="20"/>
                  </w:rPr>
                  <w:t>Jacksonville Environmental Protection Board Members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Thomas Deck -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Vice Chairman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Megan Ferer, Josh Gellers, Ph.D., Desiree C. Jones, </w:t>
                </w:r>
                <w:proofErr w:type="gramStart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LMHC,   </w:t>
                </w:r>
                <w:proofErr w:type="gramEnd"/>
                <w:r w:rsidRPr="00BF0308">
                  <w:rPr>
                    <w:color w:val="1F497D" w:themeColor="text2"/>
                    <w:sz w:val="16"/>
                    <w:szCs w:val="16"/>
                  </w:rPr>
                  <w:t xml:space="preserve">             Sunil Joshi, MD, Clint Noble, P.G., Guillermo Simon, P.E.,                 Margarete Vest, P.E.</w:t>
                </w:r>
              </w:p>
            </w:tc>
            <w:tc>
              <w:tcPr>
                <w:tcW w:w="2250" w:type="dxa"/>
              </w:tcPr>
              <w:p w14:paraId="61E08722" w14:textId="77777777" w:rsidR="00EE60EB" w:rsidRPr="00BF0308" w:rsidRDefault="00EE60EB" w:rsidP="00EE60EB">
                <w:pPr>
                  <w:pStyle w:val="Header"/>
                  <w:rPr>
                    <w:b/>
                    <w:color w:val="1F497D" w:themeColor="text2"/>
                    <w:sz w:val="16"/>
                    <w:szCs w:val="16"/>
                  </w:rPr>
                </w:pPr>
              </w:p>
              <w:p w14:paraId="7DAD044E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Air Odor Noise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Clint Noble, P.G.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 xml:space="preserve">Josh Gellers, Ph.D. </w:t>
                </w:r>
              </w:p>
              <w:p w14:paraId="718B262F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Megan Ferer</w:t>
                </w:r>
              </w:p>
              <w:p w14:paraId="0244D10A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Sunil Joshi, MD</w:t>
                </w:r>
              </w:p>
              <w:p w14:paraId="251418C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</w:r>
              </w:p>
              <w:p w14:paraId="0F06F086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b/>
                    <w:color w:val="1F497D" w:themeColor="text2"/>
                    <w:sz w:val="16"/>
                    <w:szCs w:val="16"/>
                  </w:rPr>
                  <w:t>Water Committee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Adam Hoyles – Chair</w:t>
                </w:r>
                <w:r w:rsidRPr="00BF0308">
                  <w:rPr>
                    <w:color w:val="1F497D" w:themeColor="text2"/>
                    <w:sz w:val="16"/>
                    <w:szCs w:val="16"/>
                  </w:rPr>
                  <w:br/>
                  <w:t>Megan Ferer</w:t>
                </w:r>
              </w:p>
              <w:p w14:paraId="1845FC9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Desiree Jones, LMHC</w:t>
                </w:r>
              </w:p>
              <w:p w14:paraId="4FF78092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Guillermo Simon, P.E.</w:t>
                </w:r>
              </w:p>
              <w:p w14:paraId="650C53D4" w14:textId="77777777" w:rsidR="00EE60EB" w:rsidRPr="00BF0308" w:rsidRDefault="00EE60EB" w:rsidP="00EE60EB">
                <w:pPr>
                  <w:pStyle w:val="Header"/>
                  <w:rPr>
                    <w:color w:val="1F497D" w:themeColor="text2"/>
                    <w:sz w:val="16"/>
                    <w:szCs w:val="16"/>
                  </w:rPr>
                </w:pPr>
                <w:r w:rsidRPr="00BF0308">
                  <w:rPr>
                    <w:color w:val="1F497D" w:themeColor="text2"/>
                    <w:sz w:val="16"/>
                    <w:szCs w:val="16"/>
                  </w:rPr>
                  <w:t>Margarete Vest, P.E.</w:t>
                </w:r>
              </w:p>
            </w:tc>
          </w:tr>
        </w:tbl>
        <w:p w14:paraId="56ED5627" w14:textId="77777777" w:rsidR="00EE60EB" w:rsidRPr="00EC3733" w:rsidRDefault="00EE60EB" w:rsidP="00EE60EB">
          <w:pPr>
            <w:pStyle w:val="Header"/>
            <w:rPr>
              <w:color w:val="1F497D" w:themeColor="text2"/>
              <w:sz w:val="16"/>
              <w:szCs w:val="16"/>
            </w:rPr>
          </w:pPr>
        </w:p>
      </w:tc>
    </w:tr>
  </w:tbl>
  <w:p w14:paraId="59AA3371" w14:textId="77777777" w:rsidR="00B14080" w:rsidRDefault="00B14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E5CC" w14:textId="77777777" w:rsidR="00BB5C12" w:rsidRDefault="00BB5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BFBB" w14:textId="77777777" w:rsidR="00BB5C12" w:rsidRDefault="00BB5C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75"/>
    <w:multiLevelType w:val="hybridMultilevel"/>
    <w:tmpl w:val="58C4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272F"/>
    <w:multiLevelType w:val="hybridMultilevel"/>
    <w:tmpl w:val="E65C0C32"/>
    <w:lvl w:ilvl="0" w:tplc="BB1A5C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604EE"/>
    <w:multiLevelType w:val="hybridMultilevel"/>
    <w:tmpl w:val="BD8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072A"/>
    <w:multiLevelType w:val="hybridMultilevel"/>
    <w:tmpl w:val="BD3A01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51B8F"/>
    <w:multiLevelType w:val="hybridMultilevel"/>
    <w:tmpl w:val="0ED0C6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14AF"/>
    <w:multiLevelType w:val="hybridMultilevel"/>
    <w:tmpl w:val="09C0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62176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67777B29"/>
    <w:multiLevelType w:val="hybridMultilevel"/>
    <w:tmpl w:val="FB2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34626"/>
    <w:multiLevelType w:val="hybridMultilevel"/>
    <w:tmpl w:val="05F6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D571B"/>
    <w:multiLevelType w:val="hybridMultilevel"/>
    <w:tmpl w:val="C644A7A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49A1026"/>
    <w:multiLevelType w:val="hybridMultilevel"/>
    <w:tmpl w:val="907C4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DAA"/>
    <w:multiLevelType w:val="hybridMultilevel"/>
    <w:tmpl w:val="065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C4DF3"/>
    <w:multiLevelType w:val="hybridMultilevel"/>
    <w:tmpl w:val="F120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9"/>
  </w:num>
  <w:num w:numId="3" w16cid:durableId="1378699471">
    <w:abstractNumId w:val="2"/>
  </w:num>
  <w:num w:numId="4" w16cid:durableId="1916670056">
    <w:abstractNumId w:val="11"/>
  </w:num>
  <w:num w:numId="5" w16cid:durableId="1546869509">
    <w:abstractNumId w:val="10"/>
  </w:num>
  <w:num w:numId="6" w16cid:durableId="1683168007">
    <w:abstractNumId w:val="21"/>
  </w:num>
  <w:num w:numId="7" w16cid:durableId="847209541">
    <w:abstractNumId w:val="16"/>
  </w:num>
  <w:num w:numId="8" w16cid:durableId="1920095977">
    <w:abstractNumId w:val="17"/>
  </w:num>
  <w:num w:numId="9" w16cid:durableId="91291733">
    <w:abstractNumId w:val="12"/>
  </w:num>
  <w:num w:numId="10" w16cid:durableId="1158883867">
    <w:abstractNumId w:val="20"/>
  </w:num>
  <w:num w:numId="11" w16cid:durableId="1192719593">
    <w:abstractNumId w:val="13"/>
  </w:num>
  <w:num w:numId="12" w16cid:durableId="263197306">
    <w:abstractNumId w:val="8"/>
  </w:num>
  <w:num w:numId="13" w16cid:durableId="1522746575">
    <w:abstractNumId w:val="0"/>
  </w:num>
  <w:num w:numId="14" w16cid:durableId="145635264">
    <w:abstractNumId w:val="18"/>
  </w:num>
  <w:num w:numId="15" w16cid:durableId="801508636">
    <w:abstractNumId w:val="6"/>
  </w:num>
  <w:num w:numId="16" w16cid:durableId="1803884984">
    <w:abstractNumId w:val="14"/>
  </w:num>
  <w:num w:numId="17" w16cid:durableId="635794103">
    <w:abstractNumId w:val="19"/>
  </w:num>
  <w:num w:numId="18" w16cid:durableId="2133815569">
    <w:abstractNumId w:val="15"/>
  </w:num>
  <w:num w:numId="19" w16cid:durableId="1474525322">
    <w:abstractNumId w:val="7"/>
  </w:num>
  <w:num w:numId="20" w16cid:durableId="1676181298">
    <w:abstractNumId w:val="1"/>
  </w:num>
  <w:num w:numId="21" w16cid:durableId="629823490">
    <w:abstractNumId w:val="3"/>
  </w:num>
  <w:num w:numId="22" w16cid:durableId="111485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12A61"/>
    <w:rsid w:val="00035AF2"/>
    <w:rsid w:val="00074E00"/>
    <w:rsid w:val="000904D9"/>
    <w:rsid w:val="000B378F"/>
    <w:rsid w:val="000B66EE"/>
    <w:rsid w:val="000C6F3A"/>
    <w:rsid w:val="000D65B8"/>
    <w:rsid w:val="000E7062"/>
    <w:rsid w:val="000E7FB5"/>
    <w:rsid w:val="000F681E"/>
    <w:rsid w:val="00104363"/>
    <w:rsid w:val="00141E6C"/>
    <w:rsid w:val="001623E4"/>
    <w:rsid w:val="00182EE2"/>
    <w:rsid w:val="001E7050"/>
    <w:rsid w:val="001F6819"/>
    <w:rsid w:val="002015C4"/>
    <w:rsid w:val="00203328"/>
    <w:rsid w:val="00211C95"/>
    <w:rsid w:val="00254D32"/>
    <w:rsid w:val="0029707B"/>
    <w:rsid w:val="002B2EF8"/>
    <w:rsid w:val="002E2051"/>
    <w:rsid w:val="002E78B8"/>
    <w:rsid w:val="002F2DE5"/>
    <w:rsid w:val="002F3946"/>
    <w:rsid w:val="002F7F2D"/>
    <w:rsid w:val="00307D11"/>
    <w:rsid w:val="00310EAD"/>
    <w:rsid w:val="00323D40"/>
    <w:rsid w:val="003355F7"/>
    <w:rsid w:val="00362355"/>
    <w:rsid w:val="00394A11"/>
    <w:rsid w:val="003A09B8"/>
    <w:rsid w:val="003A4A5A"/>
    <w:rsid w:val="003B1E06"/>
    <w:rsid w:val="003B4AFE"/>
    <w:rsid w:val="003C20D5"/>
    <w:rsid w:val="003D78FB"/>
    <w:rsid w:val="003F0C65"/>
    <w:rsid w:val="00405A97"/>
    <w:rsid w:val="00427E3F"/>
    <w:rsid w:val="0043327A"/>
    <w:rsid w:val="00452151"/>
    <w:rsid w:val="00453F81"/>
    <w:rsid w:val="004670D2"/>
    <w:rsid w:val="00480500"/>
    <w:rsid w:val="00487293"/>
    <w:rsid w:val="004946C2"/>
    <w:rsid w:val="004B47F0"/>
    <w:rsid w:val="004B6B04"/>
    <w:rsid w:val="004B7598"/>
    <w:rsid w:val="0050164B"/>
    <w:rsid w:val="0050363F"/>
    <w:rsid w:val="005062AC"/>
    <w:rsid w:val="00517AC6"/>
    <w:rsid w:val="005368D7"/>
    <w:rsid w:val="005374AE"/>
    <w:rsid w:val="0054087E"/>
    <w:rsid w:val="005602CD"/>
    <w:rsid w:val="005819E8"/>
    <w:rsid w:val="00584588"/>
    <w:rsid w:val="005960BE"/>
    <w:rsid w:val="0060094D"/>
    <w:rsid w:val="0061052E"/>
    <w:rsid w:val="006161A2"/>
    <w:rsid w:val="00623C5E"/>
    <w:rsid w:val="00624249"/>
    <w:rsid w:val="00660084"/>
    <w:rsid w:val="006615DD"/>
    <w:rsid w:val="006826BB"/>
    <w:rsid w:val="00683950"/>
    <w:rsid w:val="00683D3D"/>
    <w:rsid w:val="00687C58"/>
    <w:rsid w:val="006B1132"/>
    <w:rsid w:val="006B5D66"/>
    <w:rsid w:val="006F3EF1"/>
    <w:rsid w:val="00762556"/>
    <w:rsid w:val="007D1C67"/>
    <w:rsid w:val="007F582F"/>
    <w:rsid w:val="008017C6"/>
    <w:rsid w:val="00836CBE"/>
    <w:rsid w:val="0088409B"/>
    <w:rsid w:val="008A4B6B"/>
    <w:rsid w:val="008B03E0"/>
    <w:rsid w:val="008B5A7B"/>
    <w:rsid w:val="008B64C8"/>
    <w:rsid w:val="008E60E9"/>
    <w:rsid w:val="009162D1"/>
    <w:rsid w:val="00950138"/>
    <w:rsid w:val="009558A6"/>
    <w:rsid w:val="00970DA0"/>
    <w:rsid w:val="00984EFB"/>
    <w:rsid w:val="0099762A"/>
    <w:rsid w:val="00997703"/>
    <w:rsid w:val="009B4890"/>
    <w:rsid w:val="009B4BB3"/>
    <w:rsid w:val="009E3054"/>
    <w:rsid w:val="009E6204"/>
    <w:rsid w:val="00A02D41"/>
    <w:rsid w:val="00A06CAF"/>
    <w:rsid w:val="00A231A8"/>
    <w:rsid w:val="00A439F0"/>
    <w:rsid w:val="00A51743"/>
    <w:rsid w:val="00A659F8"/>
    <w:rsid w:val="00A76381"/>
    <w:rsid w:val="00A77E44"/>
    <w:rsid w:val="00A94C57"/>
    <w:rsid w:val="00AA2CDA"/>
    <w:rsid w:val="00AA7533"/>
    <w:rsid w:val="00AB3BE7"/>
    <w:rsid w:val="00AC3542"/>
    <w:rsid w:val="00AD5582"/>
    <w:rsid w:val="00B10013"/>
    <w:rsid w:val="00B12365"/>
    <w:rsid w:val="00B14080"/>
    <w:rsid w:val="00B25551"/>
    <w:rsid w:val="00B327CF"/>
    <w:rsid w:val="00B479B2"/>
    <w:rsid w:val="00B50FC3"/>
    <w:rsid w:val="00B549B2"/>
    <w:rsid w:val="00B6797B"/>
    <w:rsid w:val="00BB5C12"/>
    <w:rsid w:val="00C038F6"/>
    <w:rsid w:val="00C21DCC"/>
    <w:rsid w:val="00C31DC7"/>
    <w:rsid w:val="00C329BA"/>
    <w:rsid w:val="00C34286"/>
    <w:rsid w:val="00C4407C"/>
    <w:rsid w:val="00C808F2"/>
    <w:rsid w:val="00C83E15"/>
    <w:rsid w:val="00CA2D70"/>
    <w:rsid w:val="00CD2A69"/>
    <w:rsid w:val="00CD301A"/>
    <w:rsid w:val="00CF1E4D"/>
    <w:rsid w:val="00CF4610"/>
    <w:rsid w:val="00CF5FAD"/>
    <w:rsid w:val="00CF7003"/>
    <w:rsid w:val="00D03439"/>
    <w:rsid w:val="00D069F8"/>
    <w:rsid w:val="00D26FB5"/>
    <w:rsid w:val="00D709DF"/>
    <w:rsid w:val="00D71DF8"/>
    <w:rsid w:val="00DA6D5B"/>
    <w:rsid w:val="00DC5437"/>
    <w:rsid w:val="00E00894"/>
    <w:rsid w:val="00E0170B"/>
    <w:rsid w:val="00E257B3"/>
    <w:rsid w:val="00E26100"/>
    <w:rsid w:val="00E6361D"/>
    <w:rsid w:val="00E8229C"/>
    <w:rsid w:val="00EB2527"/>
    <w:rsid w:val="00EE2BB6"/>
    <w:rsid w:val="00EE60EB"/>
    <w:rsid w:val="00EF17DF"/>
    <w:rsid w:val="00F33F3B"/>
    <w:rsid w:val="00F521C2"/>
    <w:rsid w:val="00FC1A8C"/>
    <w:rsid w:val="00FF54C8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F8C2C0FD340EBADE13815BAACF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9C13-14D0-4818-9BBC-65592C2309C8}"/>
      </w:docPartPr>
      <w:docPartBody>
        <w:p w:rsidR="00D84657" w:rsidRDefault="00D84657" w:rsidP="00D84657">
          <w:pPr>
            <w:pStyle w:val="322F8C2C0FD340EBADE13815BAACF012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  <w:docPart>
      <w:docPartPr>
        <w:name w:val="3DB755DCC9FF43D1BABE1D66DC46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FB0E-4AFE-4260-A826-1A7F32BBAE2F}"/>
      </w:docPartPr>
      <w:docPartBody>
        <w:p w:rsidR="00D84657" w:rsidRDefault="00D84657" w:rsidP="00D84657">
          <w:pPr>
            <w:pStyle w:val="3DB755DCC9FF43D1BABE1D66DC46DFD9"/>
          </w:pPr>
          <w:r w:rsidRPr="002254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57"/>
    <w:rsid w:val="003D78FB"/>
    <w:rsid w:val="00D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657"/>
    <w:rPr>
      <w:color w:val="808080"/>
    </w:rPr>
  </w:style>
  <w:style w:type="paragraph" w:customStyle="1" w:styleId="322F8C2C0FD340EBADE13815BAACF012">
    <w:name w:val="322F8C2C0FD340EBADE13815BAACF012"/>
    <w:rsid w:val="00D84657"/>
  </w:style>
  <w:style w:type="paragraph" w:customStyle="1" w:styleId="3DB755DCC9FF43D1BABE1D66DC46DFD9">
    <w:name w:val="3DB755DCC9FF43D1BABE1D66DC46DFD9"/>
    <w:rsid w:val="00D84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4</cp:revision>
  <cp:lastPrinted>2022-07-29T15:38:00Z</cp:lastPrinted>
  <dcterms:created xsi:type="dcterms:W3CDTF">2025-06-02T13:49:00Z</dcterms:created>
  <dcterms:modified xsi:type="dcterms:W3CDTF">2025-06-02T14:32:00Z</dcterms:modified>
</cp:coreProperties>
</file>