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31113E9E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C22BE7">
        <w:rPr>
          <w:rFonts w:ascii="Century Gothic" w:hAnsi="Century Gothic" w:cs="Century Gothic"/>
          <w:b/>
          <w:color w:val="00B050"/>
          <w:sz w:val="28"/>
          <w:szCs w:val="28"/>
        </w:rPr>
        <w:t>May 19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0B079AF6" w:rsidR="00807136" w:rsidRDefault="00C22BE7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April 21</w:t>
      </w:r>
      <w:r w:rsidR="00600EC3">
        <w:rPr>
          <w:rFonts w:ascii="Century Gothic" w:hAnsi="Century Gothic"/>
          <w:bCs/>
          <w:sz w:val="22"/>
        </w:rPr>
        <w:t>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172DFAAE" w14:textId="77777777" w:rsidR="000F1506" w:rsidRPr="000F1506" w:rsidRDefault="000F1506" w:rsidP="000F1506">
      <w:pPr>
        <w:pStyle w:val="ListParagraph"/>
        <w:numPr>
          <w:ilvl w:val="0"/>
          <w:numId w:val="5"/>
        </w:numPr>
        <w:ind w:left="1440"/>
        <w:jc w:val="both"/>
        <w:rPr>
          <w:rFonts w:eastAsia="Arial"/>
          <w:color w:val="000000" w:themeColor="text1"/>
          <w:sz w:val="22"/>
        </w:rPr>
      </w:pPr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Eastport Jacksonville Property Owner LLC, </w:t>
      </w:r>
      <w:proofErr w:type="spellStart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>Arborvation</w:t>
      </w:r>
      <w:proofErr w:type="spellEnd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, LLC, </w:t>
      </w:r>
      <w:r w:rsidRPr="000F1506">
        <w:rPr>
          <w:rFonts w:eastAsia="Times New Roman"/>
          <w:i/>
          <w:iCs/>
          <w:snapToGrid w:val="0"/>
          <w:sz w:val="22"/>
        </w:rPr>
        <w:t xml:space="preserve">[AP-25-01] at 0 Kraft Road, </w:t>
      </w:r>
      <w:r w:rsidRPr="000F1506">
        <w:rPr>
          <w:rFonts w:eastAsia="Arial"/>
          <w:color w:val="000000" w:themeColor="text1"/>
          <w:sz w:val="22"/>
        </w:rPr>
        <w:t xml:space="preserve">Failure to adhere to set back distances for open burn piles; Failure to have the open burning </w:t>
      </w:r>
      <w:proofErr w:type="gramStart"/>
      <w:r w:rsidRPr="000F1506">
        <w:rPr>
          <w:rFonts w:eastAsia="Arial"/>
          <w:color w:val="000000" w:themeColor="text1"/>
          <w:sz w:val="22"/>
        </w:rPr>
        <w:t>attended at all times</w:t>
      </w:r>
      <w:proofErr w:type="gramEnd"/>
      <w:r w:rsidRPr="000F1506">
        <w:rPr>
          <w:rFonts w:eastAsia="Arial"/>
          <w:color w:val="000000" w:themeColor="text1"/>
          <w:sz w:val="22"/>
        </w:rPr>
        <w:t>; Failure to control the size of the open burn piles; and Failure to have emergency fire managing equipment on site</w:t>
      </w:r>
    </w:p>
    <w:p w14:paraId="59F6B130" w14:textId="77777777" w:rsidR="000F1506" w:rsidRPr="002A40E0" w:rsidRDefault="000F1506" w:rsidP="000F1506">
      <w:pPr>
        <w:widowControl w:val="0"/>
        <w:ind w:left="720"/>
        <w:jc w:val="both"/>
        <w:rPr>
          <w:rFonts w:eastAsia="Times New Roman"/>
          <w:b/>
          <w:bCs/>
          <w:snapToGrid w:val="0"/>
          <w:sz w:val="22"/>
        </w:rPr>
      </w:pPr>
    </w:p>
    <w:p w14:paraId="67F85F51" w14:textId="77777777" w:rsidR="000F1506" w:rsidRPr="000E6CFC" w:rsidRDefault="000F1506" w:rsidP="000F1506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3E6DA14F" w14:textId="77777777" w:rsidR="000F1506" w:rsidRPr="000E6CFC" w:rsidRDefault="000F1506" w:rsidP="000F1506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i/>
          <w:iCs/>
          <w:snapToGrid w:val="0"/>
          <w:sz w:val="18"/>
          <w:szCs w:val="18"/>
        </w:rPr>
        <w:t xml:space="preserve">JFRD to assist with extinguishing the fire, burn pile was moved to the required setbacks to include </w:t>
      </w:r>
      <w:proofErr w:type="gramStart"/>
      <w:r w:rsidRPr="000E6CFC">
        <w:rPr>
          <w:rFonts w:eastAsia="Times New Roman"/>
          <w:i/>
          <w:iCs/>
          <w:snapToGrid w:val="0"/>
          <w:sz w:val="18"/>
          <w:szCs w:val="18"/>
        </w:rPr>
        <w:t>500 gallon</w:t>
      </w:r>
      <w:proofErr w:type="gramEnd"/>
      <w:r w:rsidRPr="000E6CFC">
        <w:rPr>
          <w:rFonts w:eastAsia="Times New Roman"/>
          <w:i/>
          <w:iCs/>
          <w:snapToGrid w:val="0"/>
          <w:sz w:val="18"/>
          <w:szCs w:val="18"/>
        </w:rPr>
        <w:t xml:space="preserve"> water trailer to prevent future issues.</w:t>
      </w:r>
    </w:p>
    <w:p w14:paraId="0ED22958" w14:textId="77777777" w:rsidR="000F1506" w:rsidRPr="000E6CFC" w:rsidRDefault="000F1506" w:rsidP="000F1506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  <w:u w:val="single"/>
        </w:rPr>
      </w:pPr>
    </w:p>
    <w:p w14:paraId="2F88E00C" w14:textId="77777777" w:rsidR="000F1506" w:rsidRPr="000E6CFC" w:rsidRDefault="000F1506" w:rsidP="000F1506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  <w:u w:val="single"/>
        </w:rPr>
      </w:pPr>
      <w:r w:rsidRPr="000E6CFC">
        <w:rPr>
          <w:rFonts w:eastAsia="Times New Roman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31080659" w14:textId="77777777" w:rsidR="000F1506" w:rsidRPr="000F1506" w:rsidRDefault="000F1506" w:rsidP="000F1506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18"/>
          <w:szCs w:val="18"/>
        </w:rPr>
      </w:pPr>
      <w:r w:rsidRPr="000F1506">
        <w:rPr>
          <w:rFonts w:eastAsia="Times New Roman"/>
          <w:b/>
          <w:bCs/>
          <w:i/>
          <w:iCs/>
          <w:snapToGrid w:val="0"/>
          <w:sz w:val="18"/>
          <w:szCs w:val="18"/>
        </w:rPr>
        <w:t>$300.00</w:t>
      </w:r>
    </w:p>
    <w:p w14:paraId="1BE863F1" w14:textId="77777777" w:rsidR="000F1506" w:rsidRPr="000E6CFC" w:rsidRDefault="000F1506" w:rsidP="000F1506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</w:p>
    <w:p w14:paraId="3D4EE5B3" w14:textId="77777777" w:rsidR="000F1506" w:rsidRPr="000E6CFC" w:rsidRDefault="000F1506" w:rsidP="000F1506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0E6CFC">
        <w:rPr>
          <w:rFonts w:eastAsia="Times New Roman"/>
          <w:i/>
          <w:iCs/>
          <w:snapToGrid w:val="0"/>
          <w:sz w:val="18"/>
          <w:szCs w:val="18"/>
          <w:u w:val="single"/>
        </w:rPr>
        <w:t>Consent Order requirements</w:t>
      </w:r>
      <w:r w:rsidRPr="000E6CFC">
        <w:rPr>
          <w:rFonts w:eastAsia="Times New Roman"/>
          <w:i/>
          <w:iCs/>
          <w:snapToGrid w:val="0"/>
          <w:sz w:val="18"/>
          <w:szCs w:val="18"/>
        </w:rPr>
        <w:t>:</w:t>
      </w:r>
    </w:p>
    <w:p w14:paraId="16CED301" w14:textId="77777777" w:rsidR="000F1506" w:rsidRPr="00957D5F" w:rsidRDefault="000F1506" w:rsidP="000F1506">
      <w:pPr>
        <w:widowControl w:val="0"/>
        <w:ind w:left="2160"/>
        <w:rPr>
          <w:rFonts w:eastAsia="Times New Roman"/>
          <w:snapToGrid w:val="0"/>
          <w:sz w:val="22"/>
        </w:rPr>
      </w:pPr>
      <w:r w:rsidRPr="000E6CFC">
        <w:rPr>
          <w:rFonts w:eastAsia="Times New Roman"/>
          <w:i/>
          <w:iCs/>
          <w:snapToGrid w:val="0"/>
          <w:sz w:val="18"/>
          <w:szCs w:val="18"/>
        </w:rPr>
        <w:t>Penalty payment only</w:t>
      </w:r>
    </w:p>
    <w:p w14:paraId="17819213" w14:textId="77777777" w:rsidR="000F1506" w:rsidRDefault="000F1506" w:rsidP="000F1506">
      <w:pPr>
        <w:ind w:left="720"/>
        <w:jc w:val="both"/>
        <w:rPr>
          <w:b/>
          <w:bCs/>
          <w:sz w:val="22"/>
        </w:rPr>
      </w:pPr>
    </w:p>
    <w:p w14:paraId="01F29D94" w14:textId="77777777" w:rsidR="000F1506" w:rsidRDefault="000F1506" w:rsidP="000F1506">
      <w:pPr>
        <w:ind w:left="720"/>
        <w:jc w:val="both"/>
        <w:rPr>
          <w:b/>
          <w:bCs/>
          <w:sz w:val="22"/>
        </w:rPr>
      </w:pPr>
    </w:p>
    <w:p w14:paraId="6C602044" w14:textId="77777777" w:rsidR="000F1506" w:rsidRDefault="000F1506" w:rsidP="000F1506">
      <w:pPr>
        <w:ind w:left="720"/>
        <w:jc w:val="both"/>
        <w:rPr>
          <w:b/>
          <w:bCs/>
          <w:sz w:val="22"/>
        </w:rPr>
      </w:pPr>
    </w:p>
    <w:p w14:paraId="60CDAC08" w14:textId="77777777" w:rsidR="000F1506" w:rsidRPr="000F1506" w:rsidRDefault="000F1506" w:rsidP="000F1506">
      <w:pPr>
        <w:pStyle w:val="ListParagraph"/>
        <w:numPr>
          <w:ilvl w:val="0"/>
          <w:numId w:val="5"/>
        </w:numPr>
        <w:tabs>
          <w:tab w:val="left" w:pos="3750"/>
        </w:tabs>
        <w:ind w:left="1440"/>
        <w:jc w:val="both"/>
        <w:rPr>
          <w:rFonts w:eastAsia="Times New Roman"/>
          <w:bCs/>
          <w:snapToGrid w:val="0"/>
          <w:sz w:val="22"/>
        </w:rPr>
      </w:pPr>
      <w:r w:rsidRPr="000F1506">
        <w:rPr>
          <w:b/>
          <w:bCs/>
          <w:sz w:val="22"/>
        </w:rPr>
        <w:lastRenderedPageBreak/>
        <w:t xml:space="preserve">Indigo VIP Restaurant and Lounge, dba </w:t>
      </w:r>
      <w:proofErr w:type="spellStart"/>
      <w:r w:rsidRPr="000F1506">
        <w:rPr>
          <w:b/>
          <w:bCs/>
          <w:sz w:val="22"/>
        </w:rPr>
        <w:t>Nuku</w:t>
      </w:r>
      <w:proofErr w:type="spellEnd"/>
      <w:r w:rsidRPr="000F1506">
        <w:rPr>
          <w:b/>
          <w:bCs/>
          <w:sz w:val="22"/>
        </w:rPr>
        <w:t xml:space="preserve"> LLC, 5065 Normandy Blvd, LLC, </w:t>
      </w:r>
      <w:r w:rsidRPr="000F1506">
        <w:rPr>
          <w:sz w:val="22"/>
        </w:rPr>
        <w:t>[</w:t>
      </w:r>
      <w:r w:rsidRPr="000F1506">
        <w:rPr>
          <w:i/>
          <w:iCs/>
          <w:sz w:val="22"/>
        </w:rPr>
        <w:t xml:space="preserve">NP-25-05] at </w:t>
      </w:r>
      <w:r w:rsidRPr="000F1506">
        <w:rPr>
          <w:sz w:val="22"/>
        </w:rPr>
        <w:t>5065 Normandy Blvd</w:t>
      </w:r>
      <w:r w:rsidRPr="000F1506">
        <w:rPr>
          <w:i/>
          <w:iCs/>
          <w:sz w:val="22"/>
        </w:rPr>
        <w:t xml:space="preserve">, </w:t>
      </w:r>
      <w:r w:rsidRPr="000F1506">
        <w:rPr>
          <w:rFonts w:eastAsia="Times New Roman"/>
          <w:bCs/>
          <w:snapToGrid w:val="0"/>
          <w:sz w:val="22"/>
        </w:rPr>
        <w:t>Causing, allowing, or permitting emission of sound to Class B receiving land in exceedance of noise limits.</w:t>
      </w:r>
    </w:p>
    <w:p w14:paraId="4D4D9389" w14:textId="77777777" w:rsidR="000F1506" w:rsidRDefault="000F1506" w:rsidP="000F1506">
      <w:pPr>
        <w:spacing w:line="218" w:lineRule="auto"/>
        <w:ind w:left="144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3421C670" w14:textId="77777777" w:rsidR="000F1506" w:rsidRPr="000E6CFC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E6CFC">
        <w:rPr>
          <w:bCs/>
          <w:i/>
          <w:iCs/>
          <w:sz w:val="18"/>
          <w:szCs w:val="18"/>
          <w:u w:val="single"/>
        </w:rPr>
        <w:t>Corrective Actions:</w:t>
      </w:r>
    </w:p>
    <w:p w14:paraId="0EC67E19" w14:textId="77777777" w:rsidR="000F1506" w:rsidRPr="000E6CFC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E6CFC">
        <w:rPr>
          <w:bCs/>
          <w:i/>
          <w:iCs/>
          <w:sz w:val="18"/>
          <w:szCs w:val="18"/>
        </w:rPr>
        <w:t>Education compliance</w:t>
      </w:r>
    </w:p>
    <w:p w14:paraId="6FE03C87" w14:textId="77777777" w:rsidR="000F1506" w:rsidRPr="000E6CFC" w:rsidRDefault="000F1506" w:rsidP="000F1506">
      <w:pPr>
        <w:ind w:left="2160"/>
        <w:rPr>
          <w:bCs/>
          <w:i/>
          <w:iCs/>
          <w:sz w:val="18"/>
          <w:szCs w:val="18"/>
          <w:u w:val="single"/>
        </w:rPr>
      </w:pPr>
    </w:p>
    <w:p w14:paraId="087EF0C5" w14:textId="77777777" w:rsidR="000F1506" w:rsidRPr="000E6CFC" w:rsidRDefault="000F1506" w:rsidP="000F1506">
      <w:pPr>
        <w:ind w:left="2160"/>
        <w:rPr>
          <w:i/>
          <w:iCs/>
          <w:sz w:val="18"/>
          <w:szCs w:val="18"/>
          <w:u w:val="single"/>
        </w:rPr>
      </w:pPr>
      <w:r w:rsidRPr="000E6CFC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08E7746F" w14:textId="77777777" w:rsidR="000F1506" w:rsidRPr="000F1506" w:rsidRDefault="000F1506" w:rsidP="000F1506">
      <w:pPr>
        <w:ind w:left="2160"/>
        <w:rPr>
          <w:b/>
          <w:bCs/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$500.00</w:t>
      </w:r>
    </w:p>
    <w:p w14:paraId="326A8903" w14:textId="77777777" w:rsidR="000F1506" w:rsidRPr="000E6CFC" w:rsidRDefault="000F1506" w:rsidP="000F1506">
      <w:pPr>
        <w:ind w:left="2160"/>
        <w:rPr>
          <w:i/>
          <w:iCs/>
          <w:sz w:val="18"/>
          <w:szCs w:val="18"/>
        </w:rPr>
      </w:pPr>
    </w:p>
    <w:p w14:paraId="3C1704E4" w14:textId="77777777" w:rsidR="000F1506" w:rsidRPr="000E6CFC" w:rsidRDefault="000F1506" w:rsidP="000F1506">
      <w:pPr>
        <w:ind w:left="2160"/>
        <w:rPr>
          <w:i/>
          <w:iCs/>
          <w:sz w:val="18"/>
          <w:szCs w:val="18"/>
        </w:rPr>
      </w:pPr>
      <w:r w:rsidRPr="000E6CFC">
        <w:rPr>
          <w:i/>
          <w:iCs/>
          <w:sz w:val="18"/>
          <w:szCs w:val="18"/>
          <w:u w:val="single"/>
        </w:rPr>
        <w:t>Consent Order requirements</w:t>
      </w:r>
      <w:r w:rsidRPr="000E6CFC">
        <w:rPr>
          <w:i/>
          <w:iCs/>
          <w:sz w:val="18"/>
          <w:szCs w:val="18"/>
        </w:rPr>
        <w:t>:</w:t>
      </w:r>
    </w:p>
    <w:p w14:paraId="5A237FA2" w14:textId="77777777" w:rsidR="000F1506" w:rsidRDefault="000F1506" w:rsidP="000F1506">
      <w:pPr>
        <w:ind w:left="2160"/>
        <w:rPr>
          <w:sz w:val="22"/>
        </w:rPr>
      </w:pPr>
      <w:r w:rsidRPr="000E6CFC">
        <w:rPr>
          <w:i/>
          <w:iCs/>
          <w:sz w:val="18"/>
          <w:szCs w:val="18"/>
        </w:rPr>
        <w:t>Penalty payment only</w:t>
      </w:r>
    </w:p>
    <w:p w14:paraId="509412F3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6AA65D84" w14:textId="77777777" w:rsidR="000F1506" w:rsidRPr="000F1506" w:rsidRDefault="000F1506" w:rsidP="000F1506">
      <w:pPr>
        <w:pStyle w:val="ListParagraph"/>
        <w:numPr>
          <w:ilvl w:val="0"/>
          <w:numId w:val="5"/>
        </w:numPr>
        <w:ind w:left="1440"/>
        <w:jc w:val="both"/>
        <w:rPr>
          <w:sz w:val="22"/>
        </w:rPr>
      </w:pPr>
      <w:r w:rsidRPr="000F1506">
        <w:rPr>
          <w:rFonts w:eastAsia="Times New Roman"/>
          <w:b/>
          <w:bCs/>
          <w:sz w:val="22"/>
        </w:rPr>
        <w:t>Bayard Tree Service LLC</w:t>
      </w:r>
      <w:r w:rsidRPr="000F1506">
        <w:rPr>
          <w:rFonts w:eastAsia="Times New Roman"/>
          <w:i/>
          <w:iCs/>
          <w:sz w:val="22"/>
        </w:rPr>
        <w:t xml:space="preserve">, [AP-25-02] at 12801 </w:t>
      </w:r>
      <w:proofErr w:type="spellStart"/>
      <w:r w:rsidRPr="000F1506">
        <w:rPr>
          <w:rFonts w:eastAsia="Times New Roman"/>
          <w:i/>
          <w:iCs/>
          <w:sz w:val="22"/>
        </w:rPr>
        <w:t>Genovar</w:t>
      </w:r>
      <w:proofErr w:type="spellEnd"/>
      <w:r w:rsidRPr="000F1506">
        <w:rPr>
          <w:rFonts w:eastAsia="Times New Roman"/>
          <w:i/>
          <w:iCs/>
          <w:sz w:val="22"/>
        </w:rPr>
        <w:t xml:space="preserve"> St</w:t>
      </w:r>
      <w:r w:rsidRPr="000F1506">
        <w:rPr>
          <w:rFonts w:eastAsia="Times New Roman"/>
          <w:sz w:val="22"/>
        </w:rPr>
        <w:t xml:space="preserve">, </w:t>
      </w:r>
      <w:proofErr w:type="gramStart"/>
      <w:r w:rsidRPr="000F1506">
        <w:rPr>
          <w:rFonts w:eastAsia="Times New Roman"/>
          <w:sz w:val="22"/>
        </w:rPr>
        <w:t>Burning</w:t>
      </w:r>
      <w:proofErr w:type="gramEnd"/>
      <w:r w:rsidRPr="000F1506">
        <w:rPr>
          <w:rFonts w:eastAsia="Times New Roman"/>
          <w:sz w:val="22"/>
        </w:rPr>
        <w:t xml:space="preserve"> without a permit; Allowing prohibited materials to burn; Allowing material to be transported from off-site to be burned; failure to provide proper clearance from buildings; and Failure to attend pile while burning.</w:t>
      </w:r>
    </w:p>
    <w:p w14:paraId="4ED8B3DD" w14:textId="77777777" w:rsidR="000F1506" w:rsidRDefault="000F150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7DFFEA2F" w14:textId="77777777" w:rsidR="000F1506" w:rsidRPr="000F1506" w:rsidRDefault="000F1506" w:rsidP="000F1506">
      <w:pPr>
        <w:ind w:left="2160"/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Cs/>
          <w:i/>
          <w:iCs/>
          <w:kern w:val="2"/>
          <w:sz w:val="18"/>
          <w:szCs w:val="18"/>
          <w:u w:val="single"/>
          <w14:ligatures w14:val="standardContextual"/>
        </w:rPr>
        <w:t>Corrective Actions:</w:t>
      </w:r>
    </w:p>
    <w:p w14:paraId="5DC7FB4B" w14:textId="77777777" w:rsidR="000F1506" w:rsidRPr="000F1506" w:rsidRDefault="000F1506" w:rsidP="000F1506">
      <w:pPr>
        <w:ind w:left="2160"/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Cs/>
          <w:i/>
          <w:iCs/>
          <w:kern w:val="2"/>
          <w:sz w:val="18"/>
          <w:szCs w:val="18"/>
          <w14:ligatures w14:val="standardContextual"/>
        </w:rPr>
        <w:t>JFRD extinguished the fire</w:t>
      </w:r>
    </w:p>
    <w:p w14:paraId="5C004D94" w14:textId="77777777" w:rsidR="000F1506" w:rsidRPr="000F1506" w:rsidRDefault="000F1506" w:rsidP="000F1506">
      <w:pPr>
        <w:ind w:left="2160"/>
        <w:rPr>
          <w:rFonts w:eastAsia="Calibri" w:cs="Arial"/>
          <w:bCs/>
          <w:i/>
          <w:iCs/>
          <w:kern w:val="2"/>
          <w:sz w:val="18"/>
          <w:szCs w:val="18"/>
          <w:u w:val="single"/>
          <w14:ligatures w14:val="standardContextual"/>
        </w:rPr>
      </w:pPr>
    </w:p>
    <w:p w14:paraId="4D54818F" w14:textId="77777777" w:rsidR="000F1506" w:rsidRPr="000F1506" w:rsidRDefault="000F1506" w:rsidP="000F1506">
      <w:pPr>
        <w:ind w:left="2160"/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  <w:t xml:space="preserve">Consent Order settlement fee: </w:t>
      </w:r>
    </w:p>
    <w:p w14:paraId="3DFB2217" w14:textId="3C49E25D" w:rsidR="000F1506" w:rsidRPr="000F1506" w:rsidRDefault="000F1506" w:rsidP="000F1506">
      <w:pPr>
        <w:ind w:left="2160"/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>$300</w:t>
      </w:r>
      <w:r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>.00</w:t>
      </w:r>
      <w:r w:rsidRPr="000F1506">
        <w:rPr>
          <w:rFonts w:eastAsia="Calibri" w:cs="Arial"/>
          <w:b/>
          <w:bCs/>
          <w:i/>
          <w:iCs/>
          <w:kern w:val="2"/>
          <w:sz w:val="18"/>
          <w:szCs w:val="18"/>
          <w14:ligatures w14:val="standardContextual"/>
        </w:rPr>
        <w:t xml:space="preserve"> </w:t>
      </w:r>
    </w:p>
    <w:p w14:paraId="6657AFB5" w14:textId="77777777" w:rsidR="000F1506" w:rsidRPr="000F1506" w:rsidRDefault="000F1506" w:rsidP="000F1506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</w:p>
    <w:p w14:paraId="4CFCAD69" w14:textId="77777777" w:rsidR="000F1506" w:rsidRPr="000F1506" w:rsidRDefault="000F1506" w:rsidP="000F1506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:u w:val="single"/>
          <w14:ligatures w14:val="standardContextual"/>
        </w:rPr>
        <w:t>Consent Order requirements</w:t>
      </w:r>
      <w:r w:rsidRPr="000F1506">
        <w:rPr>
          <w:rFonts w:eastAsia="Calibri" w:cs="Arial"/>
          <w:i/>
          <w:iCs/>
          <w:kern w:val="2"/>
          <w:sz w:val="18"/>
          <w:szCs w:val="18"/>
          <w14:ligatures w14:val="standardContextual"/>
        </w:rPr>
        <w:t>:</w:t>
      </w:r>
    </w:p>
    <w:p w14:paraId="14957C40" w14:textId="77777777" w:rsidR="000F1506" w:rsidRPr="000F1506" w:rsidRDefault="000F1506" w:rsidP="000F1506">
      <w:pPr>
        <w:ind w:left="2160"/>
        <w:rPr>
          <w:rFonts w:eastAsia="Calibri"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eastAsia="Calibri" w:cs="Arial"/>
          <w:i/>
          <w:iCs/>
          <w:kern w:val="2"/>
          <w:sz w:val="18"/>
          <w:szCs w:val="18"/>
          <w14:ligatures w14:val="standardContextual"/>
        </w:rPr>
        <w:t>Penalty payment only</w:t>
      </w:r>
    </w:p>
    <w:p w14:paraId="3F955826" w14:textId="77777777" w:rsidR="000F1506" w:rsidRDefault="000F150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902F401" w14:textId="77777777" w:rsidR="000F1506" w:rsidRDefault="000F150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bookmarkEnd w:id="2"/>
    <w:p w14:paraId="7D23A377" w14:textId="77777777" w:rsidR="000F1506" w:rsidRPr="000F1506" w:rsidRDefault="000F1506" w:rsidP="000F1506">
      <w:pPr>
        <w:pStyle w:val="ListParagraph"/>
        <w:numPr>
          <w:ilvl w:val="0"/>
          <w:numId w:val="5"/>
        </w:numPr>
        <w:ind w:left="1440"/>
        <w:jc w:val="both"/>
        <w:rPr>
          <w:rFonts w:eastAsia="Arial"/>
          <w:sz w:val="22"/>
        </w:rPr>
      </w:pPr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Finger Lake </w:t>
      </w:r>
      <w:proofErr w:type="spellStart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>Bldg</w:t>
      </w:r>
      <w:proofErr w:type="spellEnd"/>
      <w:r w:rsidRPr="000F1506">
        <w:rPr>
          <w:rFonts w:eastAsia="Times New Roman"/>
          <w:b/>
          <w:bCs/>
          <w:snapToGrid w:val="0"/>
          <w:color w:val="000000" w:themeColor="text1"/>
          <w:sz w:val="22"/>
        </w:rPr>
        <w:t xml:space="preserve"> E, LLC, Hillwood Development Company, LLC, Morgan Corp. of S.C., </w:t>
      </w:r>
      <w:r w:rsidRPr="000F1506">
        <w:rPr>
          <w:rFonts w:eastAsia="Times New Roman"/>
          <w:i/>
          <w:iCs/>
          <w:snapToGrid w:val="0"/>
          <w:sz w:val="22"/>
        </w:rPr>
        <w:t xml:space="preserve">[ESC-25-03] at 0 Normandy, </w:t>
      </w:r>
      <w:r w:rsidRPr="000F1506">
        <w:rPr>
          <w:rFonts w:eastAsia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5B4314F9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4E852E73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  <w:u w:val="single"/>
        </w:rPr>
        <w:t>Corrective Actions:</w:t>
      </w:r>
    </w:p>
    <w:p w14:paraId="6653C03A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</w:rPr>
        <w:t xml:space="preserve">BMPs were improved. </w:t>
      </w:r>
    </w:p>
    <w:p w14:paraId="360251BB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  <w:u w:val="single"/>
        </w:rPr>
      </w:pPr>
    </w:p>
    <w:p w14:paraId="2923C480" w14:textId="77777777" w:rsidR="000F1506" w:rsidRPr="000F1506" w:rsidRDefault="000F1506" w:rsidP="000F1506">
      <w:pPr>
        <w:ind w:left="2160"/>
        <w:rPr>
          <w:i/>
          <w:iCs/>
          <w:sz w:val="18"/>
          <w:szCs w:val="18"/>
          <w:u w:val="single"/>
        </w:rPr>
      </w:pPr>
      <w:r w:rsidRPr="000F1506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5C363332" w14:textId="4162FC8C" w:rsidR="000F1506" w:rsidRPr="000F1506" w:rsidRDefault="000F1506" w:rsidP="000F1506">
      <w:pPr>
        <w:ind w:left="2160"/>
        <w:rPr>
          <w:b/>
          <w:bCs/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$3,500.00</w:t>
      </w:r>
    </w:p>
    <w:p w14:paraId="2656F70F" w14:textId="77777777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</w:p>
    <w:p w14:paraId="7150B185" w14:textId="77777777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  <w:u w:val="single"/>
        </w:rPr>
        <w:t>Consent Order requirements</w:t>
      </w:r>
      <w:r w:rsidRPr="000F1506">
        <w:rPr>
          <w:i/>
          <w:iCs/>
          <w:sz w:val="18"/>
          <w:szCs w:val="18"/>
        </w:rPr>
        <w:t>:</w:t>
      </w:r>
    </w:p>
    <w:p w14:paraId="3FB72890" w14:textId="77777777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</w:rPr>
        <w:t>Penalty payment only</w:t>
      </w:r>
    </w:p>
    <w:p w14:paraId="4DA3A602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70449FB8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6C32DAF0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637D6985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640BAB20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50E07EB5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2A2F5621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4E4034C7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70EA4567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419E0A7F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5906C69B" w14:textId="77777777" w:rsidR="000F1506" w:rsidRDefault="000F1506" w:rsidP="000F1506">
      <w:pPr>
        <w:ind w:left="1440"/>
        <w:jc w:val="both"/>
        <w:rPr>
          <w:rFonts w:eastAsia="Arial"/>
          <w:color w:val="000000" w:themeColor="text1"/>
          <w:sz w:val="22"/>
        </w:rPr>
      </w:pPr>
    </w:p>
    <w:p w14:paraId="37888154" w14:textId="77777777" w:rsidR="000F1506" w:rsidRPr="000F1506" w:rsidRDefault="000F1506" w:rsidP="000F1506">
      <w:pPr>
        <w:pStyle w:val="ListParagraph"/>
        <w:numPr>
          <w:ilvl w:val="0"/>
          <w:numId w:val="5"/>
        </w:numPr>
        <w:ind w:left="1440"/>
        <w:jc w:val="both"/>
        <w:rPr>
          <w:rFonts w:eastAsia="Arial"/>
          <w:sz w:val="22"/>
        </w:rPr>
      </w:pPr>
      <w:r w:rsidRPr="000F1506">
        <w:rPr>
          <w:rFonts w:eastAsia="Calibri"/>
          <w:b/>
          <w:bCs/>
          <w:snapToGrid w:val="0"/>
          <w:sz w:val="22"/>
        </w:rPr>
        <w:lastRenderedPageBreak/>
        <w:t xml:space="preserve">Riverbank </w:t>
      </w:r>
      <w:proofErr w:type="spellStart"/>
      <w:r w:rsidRPr="000F1506">
        <w:rPr>
          <w:rFonts w:eastAsia="Calibri"/>
          <w:b/>
          <w:bCs/>
          <w:snapToGrid w:val="0"/>
          <w:sz w:val="22"/>
        </w:rPr>
        <w:t>Apts</w:t>
      </w:r>
      <w:proofErr w:type="spellEnd"/>
      <w:r w:rsidRPr="000F1506">
        <w:rPr>
          <w:rFonts w:eastAsia="Calibri"/>
          <w:b/>
          <w:bCs/>
          <w:snapToGrid w:val="0"/>
          <w:sz w:val="22"/>
        </w:rPr>
        <w:t xml:space="preserve"> LP and Riverbank </w:t>
      </w:r>
      <w:proofErr w:type="spellStart"/>
      <w:r w:rsidRPr="000F1506">
        <w:rPr>
          <w:rFonts w:eastAsia="Calibri"/>
          <w:b/>
          <w:bCs/>
          <w:snapToGrid w:val="0"/>
          <w:sz w:val="22"/>
        </w:rPr>
        <w:t>Apts</w:t>
      </w:r>
      <w:proofErr w:type="spellEnd"/>
      <w:r w:rsidRPr="000F1506">
        <w:rPr>
          <w:rFonts w:eastAsia="Calibri"/>
          <w:b/>
          <w:bCs/>
          <w:snapToGrid w:val="0"/>
          <w:sz w:val="22"/>
        </w:rPr>
        <w:t xml:space="preserve"> II LLC</w:t>
      </w:r>
      <w:r w:rsidRPr="000F1506">
        <w:rPr>
          <w:rFonts w:eastAsia="Calibri"/>
          <w:snapToGrid w:val="0"/>
          <w:sz w:val="22"/>
        </w:rPr>
        <w:t xml:space="preserve">, </w:t>
      </w:r>
      <w:r w:rsidRPr="000F1506">
        <w:rPr>
          <w:rFonts w:eastAsia="Calibri"/>
          <w:i/>
          <w:iCs/>
          <w:snapToGrid w:val="0"/>
          <w:sz w:val="22"/>
        </w:rPr>
        <w:t>[WP-24-09] at 1591 Lane Avenue South</w:t>
      </w:r>
      <w:r w:rsidRPr="000F1506">
        <w:rPr>
          <w:rFonts w:eastAsia="Calibri"/>
          <w:snapToGrid w:val="0"/>
          <w:sz w:val="22"/>
        </w:rPr>
        <w:t xml:space="preserve">, </w:t>
      </w:r>
      <w:r w:rsidRPr="000F1506">
        <w:rPr>
          <w:rFonts w:eastAsia="Arial"/>
          <w:sz w:val="22"/>
        </w:rPr>
        <w:t>Discharge of untreated wastewater to the ground, surrounding environment and stormwater system; Failure to operate and maintain the System to remain operational; Allowing untreated wastewater into the storm sewer system; Failure to secure Pump Station components; Failure to notify EQD of Discharge from the System; and Failure to provide required records.</w:t>
      </w:r>
    </w:p>
    <w:p w14:paraId="6EF46E2C" w14:textId="77777777" w:rsidR="008A3D5D" w:rsidRDefault="008A3D5D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DC4A69A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  <w:u w:val="single"/>
        </w:rPr>
        <w:t>Corrective Actions:</w:t>
      </w:r>
    </w:p>
    <w:sdt>
      <w:sdtPr>
        <w:rPr>
          <w:b/>
          <w:i/>
          <w:iCs/>
          <w:sz w:val="18"/>
          <w:szCs w:val="18"/>
        </w:rPr>
        <w:id w:val="-35578569"/>
        <w:placeholder>
          <w:docPart w:val="9B39626E9B854C02A5B4C6A4B847A63D"/>
        </w:placeholder>
      </w:sdtPr>
      <w:sdtEndPr>
        <w:rPr>
          <w:b w:val="0"/>
          <w:bCs/>
        </w:rPr>
      </w:sdtEndPr>
      <w:sdtContent>
        <w:p w14:paraId="7C3857CE" w14:textId="77777777" w:rsidR="000F1506" w:rsidRPr="000F1506" w:rsidRDefault="000F1506" w:rsidP="000F1506">
          <w:pPr>
            <w:ind w:left="2160"/>
            <w:rPr>
              <w:bCs/>
              <w:i/>
              <w:iCs/>
              <w:sz w:val="18"/>
              <w:szCs w:val="18"/>
            </w:rPr>
          </w:pPr>
          <w:proofErr w:type="gramStart"/>
          <w:r w:rsidRPr="000F1506">
            <w:rPr>
              <w:bCs/>
              <w:i/>
              <w:iCs/>
              <w:sz w:val="18"/>
              <w:szCs w:val="18"/>
            </w:rPr>
            <w:t>Bypass</w:t>
          </w:r>
          <w:proofErr w:type="gramEnd"/>
          <w:r w:rsidRPr="000F1506">
            <w:rPr>
              <w:bCs/>
              <w:i/>
              <w:iCs/>
              <w:sz w:val="18"/>
              <w:szCs w:val="18"/>
            </w:rPr>
            <w:t xml:space="preserve"> pump was put in place and line was repaired</w:t>
          </w:r>
        </w:p>
      </w:sdtContent>
    </w:sdt>
    <w:p w14:paraId="188D6F67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  <w:u w:val="single"/>
        </w:rPr>
      </w:pPr>
    </w:p>
    <w:p w14:paraId="04F775BF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  <w:u w:val="single"/>
        </w:rPr>
      </w:pPr>
      <w:r w:rsidRPr="000F1506">
        <w:rPr>
          <w:bCs/>
          <w:i/>
          <w:iCs/>
          <w:sz w:val="18"/>
          <w:szCs w:val="18"/>
          <w:u w:val="single"/>
        </w:rPr>
        <w:t>ND response to alleged violation(s):</w:t>
      </w:r>
    </w:p>
    <w:p w14:paraId="246CE420" w14:textId="77777777" w:rsidR="000F1506" w:rsidRPr="000F1506" w:rsidRDefault="000F1506" w:rsidP="000F1506">
      <w:pPr>
        <w:ind w:left="2160"/>
        <w:rPr>
          <w:bCs/>
          <w:i/>
          <w:iCs/>
          <w:sz w:val="18"/>
          <w:szCs w:val="18"/>
        </w:rPr>
      </w:pPr>
      <w:r w:rsidRPr="000F1506">
        <w:rPr>
          <w:bCs/>
          <w:i/>
          <w:iCs/>
          <w:sz w:val="18"/>
          <w:szCs w:val="18"/>
        </w:rPr>
        <w:t xml:space="preserve">Cease and Desist Citation </w:t>
      </w:r>
      <w:sdt>
        <w:sdtPr>
          <w:rPr>
            <w:bCs/>
            <w:i/>
            <w:iCs/>
            <w:sz w:val="18"/>
            <w:szCs w:val="18"/>
          </w:rPr>
          <w:id w:val="1034613695"/>
          <w:placeholder>
            <w:docPart w:val="35C618E95AF44488B805AC74C2DD1403"/>
          </w:placeholder>
        </w:sdtPr>
        <w:sdtEndPr/>
        <w:sdtContent>
          <w:r w:rsidRPr="000F1506">
            <w:rPr>
              <w:bCs/>
              <w:i/>
              <w:iCs/>
              <w:sz w:val="18"/>
              <w:szCs w:val="18"/>
            </w:rPr>
            <w:t>WP-24-09</w:t>
          </w:r>
        </w:sdtContent>
      </w:sdt>
      <w:r w:rsidRPr="000F1506">
        <w:rPr>
          <w:bCs/>
          <w:i/>
          <w:iCs/>
          <w:sz w:val="18"/>
          <w:szCs w:val="18"/>
        </w:rPr>
        <w:t xml:space="preserve"> issued</w:t>
      </w:r>
    </w:p>
    <w:p w14:paraId="00785AE6" w14:textId="77777777" w:rsidR="000F1506" w:rsidRPr="000F1506" w:rsidRDefault="000F1506" w:rsidP="000F1506">
      <w:pPr>
        <w:ind w:left="2160"/>
        <w:rPr>
          <w:b/>
          <w:i/>
          <w:iCs/>
          <w:sz w:val="18"/>
          <w:szCs w:val="18"/>
        </w:rPr>
      </w:pPr>
    </w:p>
    <w:p w14:paraId="2443D0AB" w14:textId="77777777" w:rsidR="000F1506" w:rsidRPr="000F1506" w:rsidRDefault="000F1506" w:rsidP="000F1506">
      <w:pPr>
        <w:ind w:left="2160"/>
        <w:rPr>
          <w:i/>
          <w:iCs/>
          <w:sz w:val="18"/>
          <w:szCs w:val="18"/>
          <w:u w:val="single"/>
        </w:rPr>
      </w:pPr>
      <w:r w:rsidRPr="000F1506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58A902EB" w14:textId="5FBE094A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  <w:r w:rsidRPr="000F1506">
        <w:rPr>
          <w:b/>
          <w:bCs/>
          <w:i/>
          <w:iCs/>
          <w:sz w:val="18"/>
          <w:szCs w:val="18"/>
        </w:rPr>
        <w:t>$14,000.00</w:t>
      </w:r>
      <w:r w:rsidRPr="000F1506">
        <w:rPr>
          <w:i/>
          <w:iCs/>
          <w:sz w:val="18"/>
          <w:szCs w:val="18"/>
        </w:rPr>
        <w:t xml:space="preserve"> but with the opportunity to offset penalty with the installation of telemetry</w:t>
      </w:r>
    </w:p>
    <w:p w14:paraId="66E1CBB2" w14:textId="77777777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</w:p>
    <w:p w14:paraId="7F505768" w14:textId="77777777" w:rsidR="000F1506" w:rsidRPr="000F1506" w:rsidRDefault="000F1506" w:rsidP="000F1506">
      <w:pPr>
        <w:ind w:left="2160"/>
        <w:rPr>
          <w:i/>
          <w:iCs/>
          <w:sz w:val="18"/>
          <w:szCs w:val="18"/>
        </w:rPr>
      </w:pPr>
      <w:r w:rsidRPr="000F1506">
        <w:rPr>
          <w:i/>
          <w:iCs/>
          <w:sz w:val="18"/>
          <w:szCs w:val="18"/>
          <w:u w:val="single"/>
        </w:rPr>
        <w:t>Consent Order requirements</w:t>
      </w:r>
      <w:r w:rsidRPr="000F1506">
        <w:rPr>
          <w:i/>
          <w:iCs/>
          <w:sz w:val="18"/>
          <w:szCs w:val="18"/>
        </w:rPr>
        <w:t>:</w:t>
      </w:r>
    </w:p>
    <w:p w14:paraId="483638A0" w14:textId="77777777" w:rsidR="000F1506" w:rsidRPr="000F1506" w:rsidRDefault="000F1506" w:rsidP="000F1506">
      <w:pPr>
        <w:pStyle w:val="ListParagraph"/>
        <w:widowControl w:val="0"/>
        <w:numPr>
          <w:ilvl w:val="0"/>
          <w:numId w:val="15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30 days - Education campaign</w:t>
      </w:r>
    </w:p>
    <w:p w14:paraId="6327381A" w14:textId="77777777" w:rsidR="000F1506" w:rsidRPr="000F1506" w:rsidRDefault="000F1506" w:rsidP="000F1506">
      <w:pPr>
        <w:pStyle w:val="ListParagraph"/>
        <w:widowControl w:val="0"/>
        <w:numPr>
          <w:ilvl w:val="0"/>
          <w:numId w:val="15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60 days – Engineering report</w:t>
      </w:r>
    </w:p>
    <w:p w14:paraId="72A01F73" w14:textId="77777777" w:rsidR="000F1506" w:rsidRPr="000F1506" w:rsidRDefault="000F1506" w:rsidP="000F1506">
      <w:pPr>
        <w:pStyle w:val="ListParagraph"/>
        <w:widowControl w:val="0"/>
        <w:numPr>
          <w:ilvl w:val="0"/>
          <w:numId w:val="15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Monthly Status Updates</w:t>
      </w:r>
    </w:p>
    <w:p w14:paraId="03E36F19" w14:textId="77777777" w:rsidR="000F1506" w:rsidRPr="000F1506" w:rsidRDefault="000F1506" w:rsidP="000F1506">
      <w:pPr>
        <w:pStyle w:val="ListParagraph"/>
        <w:widowControl w:val="0"/>
        <w:numPr>
          <w:ilvl w:val="0"/>
          <w:numId w:val="15"/>
        </w:numPr>
        <w:ind w:left="2880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0F1506">
        <w:rPr>
          <w:rFonts w:cs="Arial"/>
          <w:i/>
          <w:iCs/>
          <w:kern w:val="2"/>
          <w:sz w:val="18"/>
          <w:szCs w:val="18"/>
          <w14:ligatures w14:val="standardContextual"/>
        </w:rPr>
        <w:t>Monthly Maintenance Reports</w:t>
      </w:r>
    </w:p>
    <w:p w14:paraId="720CE454" w14:textId="77777777" w:rsidR="000F1506" w:rsidRDefault="000F1506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9E423C9" w14:textId="78018FBE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77777777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26A7DE1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606CF6E7" w14:textId="42DAB1D7" w:rsidR="00600EC3" w:rsidRPr="00600EC3" w:rsidRDefault="008A3D5D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>
        <w:rPr>
          <w:rFonts w:eastAsiaTheme="majorEastAsia" w:cs="Arial"/>
          <w:sz w:val="22"/>
        </w:rPr>
        <w:t>None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64BBF3F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0960EB6" w14:textId="77777777" w:rsidR="00252AF2" w:rsidRPr="00252AF2" w:rsidRDefault="00252AF2" w:rsidP="000F150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Miller Creek Fecal Indicator Bacteria Study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252AF2">
        <w:rPr>
          <w:rFonts w:ascii="Century Gothic" w:eastAsiaTheme="majorEastAsia" w:hAnsi="Century Gothic" w:cstheme="majorBidi"/>
          <w:b/>
          <w:bCs/>
          <w:sz w:val="22"/>
        </w:rPr>
        <w:t>KIYAH POWELL</w:t>
      </w:r>
    </w:p>
    <w:p w14:paraId="6B4D43A6" w14:textId="605DA078" w:rsidR="00252AF2" w:rsidRDefault="00252AF2" w:rsidP="00252AF2">
      <w:pPr>
        <w:pStyle w:val="ListParagraph"/>
        <w:keepNext/>
        <w:keepLines/>
        <w:ind w:left="64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252AF2">
        <w:rPr>
          <w:rFonts w:ascii="Century Gothic" w:eastAsiaTheme="majorEastAsia" w:hAnsi="Century Gothic" w:cstheme="majorBidi"/>
          <w:b/>
          <w:bCs/>
          <w:sz w:val="22"/>
        </w:rPr>
        <w:t>RAYANNA RENAUL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T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br/>
      </w:r>
    </w:p>
    <w:p w14:paraId="1AFEA964" w14:textId="3477999F" w:rsidR="000F1506" w:rsidRDefault="000F1506" w:rsidP="000F150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JEA Project Updates and Readiness – June Meeting</w:t>
      </w:r>
    </w:p>
    <w:p w14:paraId="198B337C" w14:textId="1F899DF9" w:rsidR="00807136" w:rsidRDefault="0038295F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Groundwork Jacksonville – Update on McCoys Creek Branches Water Quality – </w:t>
      </w:r>
      <w:r w:rsidR="000F1506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July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meeting</w:t>
      </w:r>
    </w:p>
    <w:p w14:paraId="0C42CCFB" w14:textId="77777777" w:rsidR="00807136" w:rsidRPr="008D2E62" w:rsidRDefault="00807136" w:rsidP="00807136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3" w:name="_Hlk158819444"/>
      <w:r>
        <w:rPr>
          <w:rFonts w:ascii="Century Gothic" w:hAnsi="Century Gothic"/>
          <w:sz w:val="22"/>
        </w:rPr>
        <w:t>None</w:t>
      </w:r>
    </w:p>
    <w:bookmarkEnd w:id="3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41016D62" w14:textId="27E9FC44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Water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5D6F557C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Air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524081C3" w:rsidR="00DF6E1B" w:rsidRPr="00F53364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Water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720A205D" w14:textId="74B480E4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0CFB509E" w14:textId="00127FF5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F34117">
        <w:rPr>
          <w:rFonts w:ascii="Century Gothic" w:hAnsi="Century Gothic" w:cs="Century Gothic"/>
          <w:sz w:val="22"/>
        </w:rPr>
        <w:t>June 9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20507B11" w14:textId="06692F15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DF6E1B">
        <w:rPr>
          <w:rFonts w:ascii="Century Gothic" w:hAnsi="Century Gothic" w:cs="Century Gothic"/>
          <w:sz w:val="22"/>
        </w:rPr>
        <w:t>Monday</w:t>
      </w:r>
      <w:r w:rsidR="00313637">
        <w:rPr>
          <w:rFonts w:ascii="Century Gothic" w:hAnsi="Century Gothic" w:cs="Century Gothic"/>
          <w:sz w:val="22"/>
        </w:rPr>
        <w:t xml:space="preserve">, </w:t>
      </w:r>
      <w:r w:rsidR="00F34117">
        <w:rPr>
          <w:rFonts w:ascii="Century Gothic" w:hAnsi="Century Gothic" w:cs="Century Gothic"/>
          <w:sz w:val="22"/>
        </w:rPr>
        <w:t>June 16</w:t>
      </w:r>
      <w:r w:rsidR="00313637">
        <w:rPr>
          <w:rFonts w:ascii="Century Gothic" w:hAnsi="Century Gothic" w:cs="Century Gothic"/>
          <w:sz w:val="22"/>
        </w:rPr>
        <w:t>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9190B8E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604EE"/>
    <w:multiLevelType w:val="hybridMultilevel"/>
    <w:tmpl w:val="BD8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1C4DF3"/>
    <w:multiLevelType w:val="hybridMultilevel"/>
    <w:tmpl w:val="B88A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9"/>
  </w:num>
  <w:num w:numId="3" w16cid:durableId="1314215821">
    <w:abstractNumId w:val="2"/>
  </w:num>
  <w:num w:numId="4" w16cid:durableId="1893926941">
    <w:abstractNumId w:val="11"/>
  </w:num>
  <w:num w:numId="5" w16cid:durableId="1683168007">
    <w:abstractNumId w:val="14"/>
  </w:num>
  <w:num w:numId="6" w16cid:durableId="246572459">
    <w:abstractNumId w:val="8"/>
  </w:num>
  <w:num w:numId="7" w16cid:durableId="524369335">
    <w:abstractNumId w:val="1"/>
  </w:num>
  <w:num w:numId="8" w16cid:durableId="801508636">
    <w:abstractNumId w:val="6"/>
  </w:num>
  <w:num w:numId="9" w16cid:durableId="1803884984">
    <w:abstractNumId w:val="12"/>
  </w:num>
  <w:num w:numId="10" w16cid:durableId="2133815569">
    <w:abstractNumId w:val="13"/>
  </w:num>
  <w:num w:numId="11" w16cid:durableId="1474525322">
    <w:abstractNumId w:val="7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10"/>
  </w:num>
  <w:num w:numId="15" w16cid:durableId="11148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1506"/>
    <w:rsid w:val="000F681E"/>
    <w:rsid w:val="000F6F9E"/>
    <w:rsid w:val="00104363"/>
    <w:rsid w:val="00182EE2"/>
    <w:rsid w:val="001E7050"/>
    <w:rsid w:val="00211C95"/>
    <w:rsid w:val="00252AF2"/>
    <w:rsid w:val="002B2EF8"/>
    <w:rsid w:val="002E2051"/>
    <w:rsid w:val="00313637"/>
    <w:rsid w:val="00323D40"/>
    <w:rsid w:val="003355F7"/>
    <w:rsid w:val="00362355"/>
    <w:rsid w:val="0038295F"/>
    <w:rsid w:val="003852C0"/>
    <w:rsid w:val="00394A11"/>
    <w:rsid w:val="004501F8"/>
    <w:rsid w:val="00487293"/>
    <w:rsid w:val="004900FF"/>
    <w:rsid w:val="004C2A9C"/>
    <w:rsid w:val="0050164B"/>
    <w:rsid w:val="005035C7"/>
    <w:rsid w:val="0050363F"/>
    <w:rsid w:val="00517AC6"/>
    <w:rsid w:val="00584588"/>
    <w:rsid w:val="005960BE"/>
    <w:rsid w:val="005C5097"/>
    <w:rsid w:val="00600EC3"/>
    <w:rsid w:val="0063548D"/>
    <w:rsid w:val="00640361"/>
    <w:rsid w:val="006728E8"/>
    <w:rsid w:val="006826BB"/>
    <w:rsid w:val="00683D3D"/>
    <w:rsid w:val="006F3EF1"/>
    <w:rsid w:val="00762556"/>
    <w:rsid w:val="007F2462"/>
    <w:rsid w:val="008017C6"/>
    <w:rsid w:val="00807136"/>
    <w:rsid w:val="00852C2A"/>
    <w:rsid w:val="008A3D5D"/>
    <w:rsid w:val="008A4B6B"/>
    <w:rsid w:val="008E60E9"/>
    <w:rsid w:val="00936614"/>
    <w:rsid w:val="00970DA0"/>
    <w:rsid w:val="009A14FC"/>
    <w:rsid w:val="009D3A4C"/>
    <w:rsid w:val="00A439F0"/>
    <w:rsid w:val="00A565F4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BD61E5"/>
    <w:rsid w:val="00C038F6"/>
    <w:rsid w:val="00C22BE7"/>
    <w:rsid w:val="00C31DC7"/>
    <w:rsid w:val="00C51E5E"/>
    <w:rsid w:val="00C70FCB"/>
    <w:rsid w:val="00C75B6B"/>
    <w:rsid w:val="00CA2D70"/>
    <w:rsid w:val="00CF1E4D"/>
    <w:rsid w:val="00CF5FAD"/>
    <w:rsid w:val="00D03439"/>
    <w:rsid w:val="00D26FB5"/>
    <w:rsid w:val="00D709DF"/>
    <w:rsid w:val="00D85364"/>
    <w:rsid w:val="00DF6E1B"/>
    <w:rsid w:val="00E04211"/>
    <w:rsid w:val="00E257B3"/>
    <w:rsid w:val="00E26100"/>
    <w:rsid w:val="00E6361D"/>
    <w:rsid w:val="00EF17DF"/>
    <w:rsid w:val="00F34117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39626E9B854C02A5B4C6A4B847A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D92B-AF82-480F-9403-BBAA13659464}"/>
      </w:docPartPr>
      <w:docPartBody>
        <w:p w:rsidR="00C37D4D" w:rsidRDefault="00C37D4D" w:rsidP="00C37D4D">
          <w:pPr>
            <w:pStyle w:val="9B39626E9B854C02A5B4C6A4B847A63D"/>
          </w:pPr>
          <w:r w:rsidRPr="006614FE">
            <w:rPr>
              <w:rStyle w:val="PlaceholderText"/>
              <w:rFonts w:ascii="Arial" w:hAnsi="Arial" w:cs="Arial"/>
              <w:sz w:val="22"/>
              <w:szCs w:val="22"/>
            </w:rPr>
            <w:t>Unknown or gather from the chronology/emails.</w:t>
          </w:r>
        </w:p>
      </w:docPartBody>
    </w:docPart>
    <w:docPart>
      <w:docPartPr>
        <w:name w:val="35C618E95AF44488B805AC74C2DD1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FC25-FE83-4603-A78F-4C7A5898E703}"/>
      </w:docPartPr>
      <w:docPartBody>
        <w:p w:rsidR="00C37D4D" w:rsidRDefault="00C37D4D" w:rsidP="00C37D4D">
          <w:pPr>
            <w:pStyle w:val="35C618E95AF44488B805AC74C2DD1403"/>
          </w:pPr>
          <w:r w:rsidRPr="00225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4D"/>
    <w:rsid w:val="00852C2A"/>
    <w:rsid w:val="00C37D4D"/>
    <w:rsid w:val="00D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D4D"/>
    <w:rPr>
      <w:color w:val="808080"/>
    </w:rPr>
  </w:style>
  <w:style w:type="paragraph" w:customStyle="1" w:styleId="9B39626E9B854C02A5B4C6A4B847A63D">
    <w:name w:val="9B39626E9B854C02A5B4C6A4B847A63D"/>
    <w:rsid w:val="00C37D4D"/>
  </w:style>
  <w:style w:type="paragraph" w:customStyle="1" w:styleId="35C618E95AF44488B805AC74C2DD1403">
    <w:name w:val="35C618E95AF44488B805AC74C2DD1403"/>
    <w:rsid w:val="00C37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5</cp:revision>
  <cp:lastPrinted>2022-07-29T15:38:00Z</cp:lastPrinted>
  <dcterms:created xsi:type="dcterms:W3CDTF">2025-05-06T15:22:00Z</dcterms:created>
  <dcterms:modified xsi:type="dcterms:W3CDTF">2025-05-15T19:04:00Z</dcterms:modified>
</cp:coreProperties>
</file>