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7D19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>JEPB Monthly Meeting Agenda</w:t>
      </w:r>
    </w:p>
    <w:p w14:paraId="0C12D665" w14:textId="1F5B6D54" w:rsidR="00807136" w:rsidRPr="00031791" w:rsidRDefault="00600EC3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>Monday, March 17, 2025</w:t>
      </w:r>
    </w:p>
    <w:p w14:paraId="49B78E8A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bookmarkStart w:id="0" w:name="_Hlk48051169"/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21E41503" w14:textId="77777777" w:rsidR="00807136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5:00 p.m. - Ed Ball Building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- </w:t>
      </w: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</w:t>
      </w:r>
    </w:p>
    <w:p w14:paraId="4606CE9C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color w:val="00B050"/>
          <w:sz w:val="28"/>
          <w:szCs w:val="28"/>
        </w:rPr>
        <w:t>1</w:t>
      </w:r>
      <w:r w:rsidRPr="00390CBE">
        <w:rPr>
          <w:rFonts w:ascii="Century Gothic" w:hAnsi="Century Gothic" w:cs="Century Gothic"/>
          <w:color w:val="00B050"/>
          <w:sz w:val="28"/>
          <w:szCs w:val="28"/>
          <w:vertAlign w:val="superscript"/>
        </w:rPr>
        <w:t>st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Floor Hearing Room – Room 1002</w:t>
      </w:r>
    </w:p>
    <w:p w14:paraId="0E310B32" w14:textId="77777777" w:rsidR="00807136" w:rsidRPr="005A0EAC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0A872C73" w14:textId="77777777" w:rsidR="00807136" w:rsidRPr="008D2E62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8D2E62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BOARD MEETING AGENDA </w:t>
      </w:r>
    </w:p>
    <w:p w14:paraId="7EC0DC7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47D7A7C3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CALL TO ORDER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THOMAS DECK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</w:p>
    <w:bookmarkEnd w:id="0"/>
    <w:p w14:paraId="374BC386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</w:p>
    <w:p w14:paraId="7098C3CB" w14:textId="77777777" w:rsidR="00807136" w:rsidRDefault="00807136" w:rsidP="00807136">
      <w:pPr>
        <w:pStyle w:val="ListParagraph"/>
        <w:keepNext/>
        <w:keepLines/>
        <w:numPr>
          <w:ilvl w:val="0"/>
          <w:numId w:val="7"/>
        </w:numPr>
        <w:ind w:left="180" w:hanging="180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F86807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CHAIRMAN’S REMARKS</w:t>
      </w:r>
    </w:p>
    <w:p w14:paraId="2F9C33F7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6824FE4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7C5EFB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I. COMMENTS FROM THE PUBLIC </w:t>
      </w:r>
    </w:p>
    <w:p w14:paraId="203FAA68" w14:textId="77777777" w:rsidR="00807136" w:rsidRPr="007C5EFB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57923AF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APPROVAL OF MINUTES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535ACA7D" w14:textId="213645E2" w:rsidR="00807136" w:rsidRDefault="00600EC3" w:rsidP="0080713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January 21, 2025</w:t>
      </w:r>
      <w:r w:rsidR="00807136" w:rsidRPr="008D3936">
        <w:rPr>
          <w:rFonts w:ascii="Century Gothic" w:hAnsi="Century Gothic"/>
          <w:bCs/>
          <w:sz w:val="22"/>
        </w:rPr>
        <w:t>, Monthly Meeting</w:t>
      </w:r>
      <w:r w:rsidR="00807136">
        <w:rPr>
          <w:rFonts w:ascii="Century Gothic" w:hAnsi="Century Gothic"/>
          <w:bCs/>
          <w:sz w:val="22"/>
        </w:rPr>
        <w:t xml:space="preserve"> Summary</w:t>
      </w:r>
    </w:p>
    <w:p w14:paraId="5D16F60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</w:rPr>
      </w:pPr>
    </w:p>
    <w:p w14:paraId="54EA25F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IV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</w:t>
      </w:r>
      <w:r w:rsidRPr="002252F0">
        <w:rPr>
          <w:rFonts w:ascii="Century Gothic" w:eastAsiaTheme="majorEastAsia" w:hAnsi="Century Gothic" w:cstheme="majorBidi"/>
          <w:color w:val="17365D" w:themeColor="text2" w:themeShade="BF"/>
          <w:sz w:val="22"/>
        </w:rPr>
        <w:t>CONSENT ORDERS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  <w:t>MELISSA LONG</w:t>
      </w:r>
      <w:r w:rsidRPr="00054AFF">
        <w:rPr>
          <w:rFonts w:ascii="Century Gothic" w:hAnsi="Century Gothic"/>
          <w:b/>
          <w:bCs/>
          <w:sz w:val="22"/>
        </w:rPr>
        <w:t xml:space="preserve"> </w:t>
      </w:r>
    </w:p>
    <w:p w14:paraId="35C04FE0" w14:textId="77777777" w:rsidR="00807136" w:rsidRDefault="00807136" w:rsidP="00807136">
      <w:pPr>
        <w:ind w:left="90" w:firstLine="720"/>
        <w:rPr>
          <w:b/>
          <w:sz w:val="22"/>
          <w:u w:val="single"/>
        </w:rPr>
      </w:pPr>
      <w:bookmarkStart w:id="1" w:name="_Hlk105675301"/>
    </w:p>
    <w:p w14:paraId="1BB5C440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  <w:bookmarkStart w:id="2" w:name="_Hlk161127475"/>
      <w:bookmarkEnd w:id="1"/>
      <w:r w:rsidRPr="006E22D5">
        <w:rPr>
          <w:rFonts w:eastAsia="Calibri" w:cs="Arial"/>
          <w:b/>
          <w:kern w:val="2"/>
          <w:sz w:val="22"/>
          <w:u w:val="single"/>
          <w14:ligatures w14:val="standardContextual"/>
        </w:rPr>
        <w:t>Air</w:t>
      </w:r>
    </w:p>
    <w:p w14:paraId="27368D7D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271B9EA3" w14:textId="77777777" w:rsidR="00600EC3" w:rsidRPr="00600EC3" w:rsidRDefault="00600EC3" w:rsidP="00600EC3">
      <w:pPr>
        <w:pStyle w:val="ListParagraph"/>
        <w:numPr>
          <w:ilvl w:val="1"/>
          <w:numId w:val="5"/>
        </w:numPr>
        <w:jc w:val="both"/>
        <w:rPr>
          <w:rFonts w:eastAsia="Times New Roman"/>
          <w:bCs/>
          <w:snapToGrid w:val="0"/>
          <w:sz w:val="22"/>
        </w:rPr>
      </w:pPr>
      <w:r w:rsidRPr="00600EC3">
        <w:rPr>
          <w:b/>
        </w:rPr>
        <w:t xml:space="preserve">GFL Solid Waste Southeast LLC </w:t>
      </w:r>
      <w:r>
        <w:t xml:space="preserve">[NP-25-03] </w:t>
      </w:r>
      <w:r w:rsidRPr="00600EC3">
        <w:rPr>
          <w:sz w:val="22"/>
        </w:rPr>
        <w:t xml:space="preserve">at 12134 Ft. Caroline Road, </w:t>
      </w:r>
      <w:bookmarkStart w:id="3" w:name="_Hlk98931087"/>
      <w:r w:rsidRPr="00600EC3">
        <w:rPr>
          <w:rFonts w:eastAsia="Times New Roman"/>
          <w:bCs/>
          <w:sz w:val="22"/>
        </w:rPr>
        <w:t xml:space="preserve">Operating or permitting the operation of a trash or refuse service using a mechanical device between the hours of 10:00 p.m. and 7:00 a.m. within 200 meters of property that is in a Class A or Class B areas  </w:t>
      </w:r>
      <w:bookmarkEnd w:id="3"/>
    </w:p>
    <w:p w14:paraId="6622DB5F" w14:textId="77777777" w:rsidR="00807136" w:rsidRDefault="00807136" w:rsidP="00807136">
      <w:pPr>
        <w:ind w:left="1440" w:firstLine="60"/>
        <w:rPr>
          <w:sz w:val="22"/>
        </w:rPr>
      </w:pPr>
    </w:p>
    <w:p w14:paraId="464C8B0D" w14:textId="77777777" w:rsidR="004C2A9C" w:rsidRPr="004C2A9C" w:rsidRDefault="004C2A9C" w:rsidP="004C2A9C">
      <w:pPr>
        <w:ind w:left="1440" w:firstLine="60"/>
        <w:rPr>
          <w:rFonts w:eastAsia="Times New Roman"/>
          <w:bCs/>
          <w:snapToGrid w:val="0"/>
          <w:sz w:val="22"/>
          <w:highlight w:val="yellow"/>
          <w:u w:val="single"/>
        </w:rPr>
      </w:pPr>
      <w:r w:rsidRPr="004C2A9C">
        <w:rPr>
          <w:rFonts w:eastAsia="Times New Roman"/>
          <w:bCs/>
          <w:snapToGrid w:val="0"/>
          <w:sz w:val="22"/>
          <w:highlight w:val="yellow"/>
          <w:u w:val="single"/>
        </w:rPr>
        <w:t>Corrective Actions:</w:t>
      </w:r>
    </w:p>
    <w:p w14:paraId="017F3A7B" w14:textId="77777777" w:rsidR="004C2A9C" w:rsidRPr="004C2A9C" w:rsidRDefault="004C2A9C" w:rsidP="004C2A9C">
      <w:pPr>
        <w:ind w:left="1440" w:firstLine="60"/>
        <w:rPr>
          <w:rFonts w:eastAsia="Times New Roman"/>
          <w:bCs/>
          <w:snapToGrid w:val="0"/>
          <w:sz w:val="22"/>
          <w:highlight w:val="yellow"/>
          <w:u w:val="single"/>
        </w:rPr>
      </w:pPr>
      <w:r w:rsidRPr="004C2A9C">
        <w:rPr>
          <w:rFonts w:eastAsia="Times New Roman"/>
          <w:bCs/>
          <w:snapToGrid w:val="0"/>
          <w:sz w:val="22"/>
          <w:highlight w:val="yellow"/>
          <w:u w:val="single"/>
        </w:rPr>
        <w:t>Notification to the driver regarding the service pickup time restriction.</w:t>
      </w:r>
    </w:p>
    <w:p w14:paraId="08F34279" w14:textId="77777777" w:rsidR="004C2A9C" w:rsidRPr="004C2A9C" w:rsidRDefault="004C2A9C" w:rsidP="004C2A9C">
      <w:pPr>
        <w:ind w:left="1440" w:firstLine="60"/>
        <w:rPr>
          <w:rFonts w:eastAsia="Times New Roman"/>
          <w:bCs/>
          <w:snapToGrid w:val="0"/>
          <w:sz w:val="22"/>
          <w:highlight w:val="yellow"/>
          <w:u w:val="single"/>
        </w:rPr>
      </w:pPr>
    </w:p>
    <w:p w14:paraId="4BB900CD" w14:textId="77777777" w:rsidR="004C2A9C" w:rsidRPr="004C2A9C" w:rsidRDefault="004C2A9C" w:rsidP="004C2A9C">
      <w:pPr>
        <w:ind w:left="1440" w:firstLine="60"/>
        <w:rPr>
          <w:rFonts w:eastAsia="Times New Roman"/>
          <w:bCs/>
          <w:snapToGrid w:val="0"/>
          <w:sz w:val="22"/>
          <w:highlight w:val="yellow"/>
          <w:u w:val="single"/>
        </w:rPr>
      </w:pPr>
      <w:r w:rsidRPr="004C2A9C">
        <w:rPr>
          <w:rFonts w:eastAsia="Times New Roman"/>
          <w:bCs/>
          <w:snapToGrid w:val="0"/>
          <w:sz w:val="22"/>
          <w:highlight w:val="yellow"/>
          <w:u w:val="single"/>
        </w:rPr>
        <w:t xml:space="preserve">Consent Order settlement fee: </w:t>
      </w:r>
    </w:p>
    <w:p w14:paraId="1360922A" w14:textId="271B5779" w:rsidR="004C2A9C" w:rsidRPr="004C2A9C" w:rsidRDefault="004C2A9C" w:rsidP="004C2A9C">
      <w:pPr>
        <w:ind w:left="1440" w:firstLine="60"/>
        <w:rPr>
          <w:rFonts w:eastAsia="Times New Roman"/>
          <w:b/>
          <w:snapToGrid w:val="0"/>
          <w:sz w:val="22"/>
          <w:u w:val="single"/>
        </w:rPr>
      </w:pPr>
      <w:r w:rsidRPr="004C2A9C">
        <w:rPr>
          <w:rFonts w:eastAsia="Times New Roman"/>
          <w:b/>
          <w:snapToGrid w:val="0"/>
          <w:sz w:val="22"/>
          <w:highlight w:val="yellow"/>
          <w:u w:val="single"/>
        </w:rPr>
        <w:t>$5</w:t>
      </w:r>
      <w:r w:rsidRPr="004C2A9C">
        <w:rPr>
          <w:rFonts w:eastAsia="Times New Roman"/>
          <w:b/>
          <w:snapToGrid w:val="0"/>
          <w:sz w:val="22"/>
          <w:highlight w:val="yellow"/>
          <w:u w:val="single"/>
        </w:rPr>
        <w:t>,</w:t>
      </w:r>
      <w:r w:rsidRPr="004C2A9C">
        <w:rPr>
          <w:rFonts w:eastAsia="Times New Roman"/>
          <w:b/>
          <w:snapToGrid w:val="0"/>
          <w:sz w:val="22"/>
          <w:highlight w:val="yellow"/>
          <w:u w:val="single"/>
        </w:rPr>
        <w:t>000.00</w:t>
      </w:r>
    </w:p>
    <w:p w14:paraId="2E68D134" w14:textId="77777777" w:rsidR="00807136" w:rsidRDefault="00807136" w:rsidP="00807136">
      <w:pPr>
        <w:ind w:left="1440" w:firstLine="60"/>
        <w:rPr>
          <w:sz w:val="22"/>
        </w:rPr>
      </w:pPr>
    </w:p>
    <w:p w14:paraId="04671441" w14:textId="77777777" w:rsidR="00807136" w:rsidRDefault="00807136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34153207" w14:textId="77777777" w:rsidR="004C2A9C" w:rsidRDefault="004C2A9C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5661C237" w14:textId="77777777" w:rsidR="004C2A9C" w:rsidRDefault="004C2A9C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509412F3" w14:textId="77777777" w:rsidR="004C2A9C" w:rsidRDefault="004C2A9C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5366BADB" w14:textId="77777777" w:rsidR="004C2A9C" w:rsidRDefault="004C2A9C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40438A15" w14:textId="77777777" w:rsidR="00600EC3" w:rsidRDefault="00600EC3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17CBA91B" w14:textId="77777777" w:rsidR="00600EC3" w:rsidRDefault="00600EC3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0180C6A0" w14:textId="77777777" w:rsidR="00807136" w:rsidRPr="006E22D5" w:rsidRDefault="00807136" w:rsidP="00807136">
      <w:pPr>
        <w:ind w:left="720"/>
        <w:rPr>
          <w:rFonts w:eastAsia="Calibri" w:cs="Arial"/>
          <w:b/>
          <w:bCs/>
          <w:color w:val="FF0000"/>
          <w:kern w:val="2"/>
          <w:sz w:val="22"/>
          <w:u w:val="single"/>
          <w14:ligatures w14:val="standardContextual"/>
        </w:rPr>
      </w:pPr>
      <w:r w:rsidRPr="006E22D5">
        <w:rPr>
          <w:rFonts w:eastAsia="Calibri" w:cs="Arial"/>
          <w:b/>
          <w:bCs/>
          <w:kern w:val="2"/>
          <w:sz w:val="22"/>
          <w:u w:val="single"/>
          <w14:ligatures w14:val="standardContextual"/>
        </w:rPr>
        <w:lastRenderedPageBreak/>
        <w:t>Water</w:t>
      </w:r>
    </w:p>
    <w:p w14:paraId="4450A6C4" w14:textId="77777777" w:rsidR="00807136" w:rsidRPr="006E22D5" w:rsidRDefault="00807136" w:rsidP="00807136">
      <w:pPr>
        <w:ind w:left="81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2043F132" w14:textId="77777777" w:rsidR="00600EC3" w:rsidRPr="00600EC3" w:rsidRDefault="00600EC3" w:rsidP="00600EC3">
      <w:pPr>
        <w:pStyle w:val="ListParagraph"/>
        <w:numPr>
          <w:ilvl w:val="0"/>
          <w:numId w:val="13"/>
        </w:numPr>
        <w:ind w:left="1440"/>
        <w:rPr>
          <w:rFonts w:eastAsia="Arial" w:cs="Arial"/>
          <w:sz w:val="22"/>
        </w:rPr>
      </w:pPr>
      <w:r w:rsidRPr="00600EC3">
        <w:rPr>
          <w:rFonts w:eastAsia="Times New Roman" w:cs="Arial"/>
          <w:b/>
          <w:bCs/>
          <w:snapToGrid w:val="0"/>
          <w:sz w:val="22"/>
        </w:rPr>
        <w:t xml:space="preserve">Mandarin Properties I, LLC, Mandarin South Business Center, Inc, Proctor Family Real Estate, LLC, Atlas Physical Therapy &amp; Sports Medicine Inc, DOS Amigos Investments, LLC </w:t>
      </w:r>
      <w:r w:rsidRPr="00600EC3">
        <w:rPr>
          <w:rFonts w:eastAsia="Calibri" w:cs="Arial"/>
          <w:i/>
          <w:iCs/>
          <w:kern w:val="2"/>
          <w:sz w:val="22"/>
          <w14:ligatures w14:val="standardContextual"/>
        </w:rPr>
        <w:t xml:space="preserve">[WP-25-01] at 12421 San Jose Blvd; Unit 2B and Unit 3 and 12397 San Jose Blvd, </w:t>
      </w:r>
      <w:r w:rsidRPr="00600EC3">
        <w:rPr>
          <w:rFonts w:eastAsia="Arial" w:cs="Arial"/>
          <w:sz w:val="22"/>
        </w:rPr>
        <w:t>Discharge of untreated wastewater to the ground, surrounding environment and stormwater system; Allowing untreated wastewater into the storm sewer system; and Failure to notify EQD of Discharge from the System and Failure to provide required records.</w:t>
      </w:r>
    </w:p>
    <w:p w14:paraId="6988D544" w14:textId="77777777" w:rsidR="00600EC3" w:rsidRPr="00600EC3" w:rsidRDefault="00600EC3" w:rsidP="00600EC3">
      <w:pPr>
        <w:widowControl w:val="0"/>
        <w:ind w:left="1440"/>
        <w:jc w:val="both"/>
        <w:rPr>
          <w:rFonts w:eastAsia="Calibri" w:cs="Arial"/>
          <w:kern w:val="2"/>
          <w:sz w:val="22"/>
          <w14:ligatures w14:val="standardContextual"/>
        </w:rPr>
      </w:pPr>
    </w:p>
    <w:p w14:paraId="416A8432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bCs/>
          <w:snapToGrid w:val="0"/>
          <w:sz w:val="22"/>
        </w:rPr>
      </w:pPr>
      <w:r w:rsidRPr="00600EC3">
        <w:rPr>
          <w:rFonts w:eastAsia="Times New Roman" w:cs="Arial"/>
          <w:bCs/>
          <w:snapToGrid w:val="0"/>
          <w:sz w:val="22"/>
          <w:u w:val="single"/>
        </w:rPr>
        <w:t>Corrective Actions:</w:t>
      </w:r>
    </w:p>
    <w:p w14:paraId="2E5E3A9F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bCs/>
          <w:snapToGrid w:val="0"/>
          <w:sz w:val="22"/>
        </w:rPr>
      </w:pPr>
      <w:r w:rsidRPr="00600EC3">
        <w:rPr>
          <w:rFonts w:eastAsia="Times New Roman" w:cs="Arial"/>
          <w:bCs/>
          <w:snapToGrid w:val="0"/>
          <w:sz w:val="22"/>
        </w:rPr>
        <w:t xml:space="preserve">Aldridge and Sons Plumbing cleared the blockage, discharge stopped </w:t>
      </w:r>
    </w:p>
    <w:p w14:paraId="6FFBB209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bCs/>
          <w:snapToGrid w:val="0"/>
          <w:sz w:val="22"/>
          <w:u w:val="single"/>
        </w:rPr>
      </w:pPr>
    </w:p>
    <w:p w14:paraId="25EA0007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snapToGrid w:val="0"/>
          <w:sz w:val="22"/>
          <w:u w:val="single"/>
        </w:rPr>
      </w:pPr>
      <w:r w:rsidRPr="00600EC3">
        <w:rPr>
          <w:rFonts w:eastAsia="Times New Roman" w:cs="Arial"/>
          <w:snapToGrid w:val="0"/>
          <w:sz w:val="22"/>
          <w:u w:val="single"/>
        </w:rPr>
        <w:t xml:space="preserve">Consent Order settlement fee: </w:t>
      </w:r>
    </w:p>
    <w:p w14:paraId="1D0FD0A8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b/>
          <w:bCs/>
          <w:snapToGrid w:val="0"/>
          <w:sz w:val="22"/>
        </w:rPr>
      </w:pPr>
      <w:r w:rsidRPr="00600EC3">
        <w:rPr>
          <w:rFonts w:eastAsia="Times New Roman" w:cs="Arial"/>
          <w:b/>
          <w:bCs/>
          <w:snapToGrid w:val="0"/>
          <w:sz w:val="22"/>
        </w:rPr>
        <w:t xml:space="preserve">$500.00 </w:t>
      </w:r>
    </w:p>
    <w:p w14:paraId="02C474C8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snapToGrid w:val="0"/>
          <w:sz w:val="22"/>
        </w:rPr>
      </w:pPr>
    </w:p>
    <w:p w14:paraId="45C0D587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snapToGrid w:val="0"/>
          <w:sz w:val="22"/>
        </w:rPr>
      </w:pPr>
      <w:r w:rsidRPr="00600EC3">
        <w:rPr>
          <w:rFonts w:eastAsia="Times New Roman" w:cs="Arial"/>
          <w:snapToGrid w:val="0"/>
          <w:sz w:val="22"/>
          <w:u w:val="single"/>
        </w:rPr>
        <w:t>Consent Order requirements</w:t>
      </w:r>
      <w:r w:rsidRPr="00600EC3">
        <w:rPr>
          <w:rFonts w:eastAsia="Times New Roman" w:cs="Arial"/>
          <w:snapToGrid w:val="0"/>
          <w:sz w:val="22"/>
        </w:rPr>
        <w:t>:</w:t>
      </w:r>
    </w:p>
    <w:p w14:paraId="11CC70B8" w14:textId="77777777" w:rsidR="00600EC3" w:rsidRPr="00600EC3" w:rsidRDefault="00600EC3" w:rsidP="00600EC3">
      <w:pPr>
        <w:pStyle w:val="ListParagraph"/>
        <w:widowControl w:val="0"/>
        <w:numPr>
          <w:ilvl w:val="3"/>
          <w:numId w:val="13"/>
        </w:numPr>
        <w:rPr>
          <w:rFonts w:eastAsia="Times New Roman" w:cs="Arial"/>
          <w:snapToGrid w:val="0"/>
          <w:sz w:val="22"/>
        </w:rPr>
      </w:pPr>
      <w:r w:rsidRPr="00600EC3">
        <w:rPr>
          <w:rFonts w:eastAsia="Times New Roman" w:cs="Arial"/>
          <w:snapToGrid w:val="0"/>
          <w:sz w:val="22"/>
        </w:rPr>
        <w:t xml:space="preserve">Education Campaign </w:t>
      </w:r>
      <w:r w:rsidRPr="00600EC3">
        <w:rPr>
          <w:rFonts w:eastAsia="Times New Roman" w:cs="Arial"/>
          <w:snapToGrid w:val="0"/>
          <w:sz w:val="22"/>
        </w:rPr>
        <w:tab/>
        <w:t xml:space="preserve"> </w:t>
      </w:r>
    </w:p>
    <w:p w14:paraId="6B0CF0B3" w14:textId="77777777" w:rsidR="00600EC3" w:rsidRPr="00600EC3" w:rsidRDefault="00600EC3" w:rsidP="00600EC3">
      <w:pPr>
        <w:pStyle w:val="ListParagraph"/>
        <w:widowControl w:val="0"/>
        <w:numPr>
          <w:ilvl w:val="3"/>
          <w:numId w:val="13"/>
        </w:numPr>
        <w:rPr>
          <w:rFonts w:eastAsia="Times New Roman" w:cs="Arial"/>
          <w:snapToGrid w:val="0"/>
          <w:sz w:val="22"/>
        </w:rPr>
      </w:pPr>
      <w:r w:rsidRPr="00600EC3">
        <w:rPr>
          <w:rFonts w:eastAsia="Times New Roman" w:cs="Arial"/>
          <w:snapToGrid w:val="0"/>
          <w:sz w:val="22"/>
        </w:rPr>
        <w:t>Completed Gravity System Report</w:t>
      </w:r>
      <w:r w:rsidRPr="00600EC3">
        <w:rPr>
          <w:rFonts w:eastAsia="Times New Roman" w:cs="Arial"/>
          <w:snapToGrid w:val="0"/>
          <w:sz w:val="22"/>
        </w:rPr>
        <w:tab/>
      </w:r>
    </w:p>
    <w:p w14:paraId="6A7AE328" w14:textId="77777777" w:rsidR="00600EC3" w:rsidRPr="00600EC3" w:rsidRDefault="00600EC3" w:rsidP="00600EC3">
      <w:pPr>
        <w:pStyle w:val="ListParagraph"/>
        <w:widowControl w:val="0"/>
        <w:numPr>
          <w:ilvl w:val="3"/>
          <w:numId w:val="13"/>
        </w:numPr>
        <w:rPr>
          <w:rFonts w:eastAsia="Times New Roman" w:cs="Arial"/>
          <w:snapToGrid w:val="0"/>
          <w:sz w:val="22"/>
        </w:rPr>
      </w:pPr>
      <w:r w:rsidRPr="00600EC3">
        <w:rPr>
          <w:rFonts w:eastAsia="Times New Roman" w:cs="Arial"/>
          <w:snapToGrid w:val="0"/>
          <w:sz w:val="22"/>
        </w:rPr>
        <w:t xml:space="preserve">Monthly Status Report - </w:t>
      </w:r>
      <w:proofErr w:type="gramStart"/>
      <w:r w:rsidRPr="00600EC3">
        <w:rPr>
          <w:rFonts w:eastAsia="Times New Roman" w:cs="Arial"/>
          <w:snapToGrid w:val="0"/>
          <w:sz w:val="22"/>
        </w:rPr>
        <w:t>plumber's review</w:t>
      </w:r>
      <w:proofErr w:type="gramEnd"/>
      <w:r w:rsidRPr="00600EC3">
        <w:rPr>
          <w:rFonts w:eastAsia="Times New Roman" w:cs="Arial"/>
          <w:snapToGrid w:val="0"/>
          <w:sz w:val="22"/>
        </w:rPr>
        <w:tab/>
      </w:r>
    </w:p>
    <w:p w14:paraId="07697789" w14:textId="77777777" w:rsidR="00600EC3" w:rsidRPr="00600EC3" w:rsidRDefault="00600EC3" w:rsidP="00600EC3">
      <w:pPr>
        <w:widowControl w:val="0"/>
        <w:ind w:left="1440"/>
        <w:jc w:val="both"/>
        <w:rPr>
          <w:rFonts w:eastAsia="Calibri" w:cs="Arial"/>
          <w:kern w:val="2"/>
          <w:sz w:val="22"/>
          <w14:ligatures w14:val="standardContextual"/>
        </w:rPr>
      </w:pPr>
    </w:p>
    <w:p w14:paraId="741B7BDD" w14:textId="77777777" w:rsidR="00600EC3" w:rsidRPr="00600EC3" w:rsidRDefault="00600EC3" w:rsidP="00600EC3">
      <w:pPr>
        <w:widowControl w:val="0"/>
        <w:ind w:left="1440"/>
        <w:jc w:val="both"/>
        <w:rPr>
          <w:rFonts w:eastAsia="Calibri" w:cs="Arial"/>
          <w:kern w:val="2"/>
          <w:sz w:val="22"/>
          <w14:ligatures w14:val="standardContextual"/>
        </w:rPr>
      </w:pPr>
    </w:p>
    <w:p w14:paraId="5D6BB6DC" w14:textId="77777777" w:rsidR="00600EC3" w:rsidRPr="00600EC3" w:rsidRDefault="00600EC3" w:rsidP="00600EC3">
      <w:pPr>
        <w:pStyle w:val="ListParagraph"/>
        <w:numPr>
          <w:ilvl w:val="0"/>
          <w:numId w:val="13"/>
        </w:numPr>
        <w:ind w:left="1440"/>
        <w:jc w:val="both"/>
        <w:rPr>
          <w:rFonts w:eastAsia="Times New Roman" w:cs="Arial"/>
          <w:snapToGrid w:val="0"/>
          <w:sz w:val="22"/>
        </w:rPr>
      </w:pPr>
      <w:bookmarkStart w:id="4" w:name="_Hlk160713054"/>
      <w:r w:rsidRPr="00600EC3">
        <w:rPr>
          <w:rFonts w:eastAsia="Calibri" w:cs="Arial"/>
          <w:b/>
          <w:bCs/>
          <w:snapToGrid w:val="0"/>
          <w:sz w:val="22"/>
        </w:rPr>
        <w:t>SFR Workforce Owner 2 LLC</w:t>
      </w:r>
      <w:bookmarkEnd w:id="4"/>
      <w:r w:rsidRPr="00600EC3">
        <w:rPr>
          <w:rFonts w:eastAsia="Times New Roman" w:cs="Arial"/>
          <w:b/>
          <w:bCs/>
          <w:snapToGrid w:val="0"/>
          <w:sz w:val="22"/>
        </w:rPr>
        <w:t xml:space="preserve"> </w:t>
      </w:r>
      <w:bookmarkStart w:id="5" w:name="_Hlk182559347"/>
      <w:r w:rsidRPr="00600EC3">
        <w:rPr>
          <w:rFonts w:eastAsia="Times New Roman" w:cs="Arial"/>
          <w:snapToGrid w:val="0"/>
          <w:sz w:val="22"/>
        </w:rPr>
        <w:t xml:space="preserve">[WP-24-06] at 1715 Sheridan Street, </w:t>
      </w:r>
      <w:bookmarkEnd w:id="5"/>
      <w:r w:rsidRPr="00600EC3">
        <w:rPr>
          <w:rFonts w:eastAsia="Times New Roman" w:cs="Arial"/>
          <w:snapToGrid w:val="0"/>
          <w:sz w:val="22"/>
        </w:rPr>
        <w:t xml:space="preserve">Unlawful discharge of sewage or </w:t>
      </w:r>
      <w:proofErr w:type="gramStart"/>
      <w:r w:rsidRPr="00600EC3">
        <w:rPr>
          <w:rFonts w:eastAsia="Times New Roman" w:cs="Arial"/>
          <w:snapToGrid w:val="0"/>
          <w:sz w:val="22"/>
        </w:rPr>
        <w:t>other</w:t>
      </w:r>
      <w:proofErr w:type="gramEnd"/>
      <w:r w:rsidRPr="00600EC3">
        <w:rPr>
          <w:rFonts w:eastAsia="Times New Roman" w:cs="Arial"/>
          <w:snapToGrid w:val="0"/>
          <w:sz w:val="22"/>
        </w:rPr>
        <w:t xml:space="preserve"> untreated wastewater to the ground and surrounding environment.</w:t>
      </w:r>
    </w:p>
    <w:p w14:paraId="0852ED38" w14:textId="77777777" w:rsidR="00600EC3" w:rsidRPr="00600EC3" w:rsidRDefault="00600EC3" w:rsidP="00600EC3">
      <w:pPr>
        <w:widowControl w:val="0"/>
        <w:ind w:left="1440"/>
        <w:jc w:val="both"/>
        <w:rPr>
          <w:rFonts w:eastAsia="Times New Roman" w:cs="Arial"/>
          <w:snapToGrid w:val="0"/>
          <w:sz w:val="22"/>
        </w:rPr>
      </w:pPr>
    </w:p>
    <w:p w14:paraId="706321E8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bCs/>
          <w:snapToGrid w:val="0"/>
          <w:sz w:val="22"/>
        </w:rPr>
      </w:pPr>
      <w:r w:rsidRPr="00600EC3">
        <w:rPr>
          <w:rFonts w:eastAsia="Times New Roman" w:cs="Arial"/>
          <w:bCs/>
          <w:snapToGrid w:val="0"/>
          <w:sz w:val="22"/>
          <w:u w:val="single"/>
        </w:rPr>
        <w:t>Corrective Actions:</w:t>
      </w:r>
    </w:p>
    <w:p w14:paraId="2618B3B3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bCs/>
          <w:snapToGrid w:val="0"/>
          <w:sz w:val="22"/>
        </w:rPr>
      </w:pPr>
      <w:r w:rsidRPr="00600EC3">
        <w:rPr>
          <w:rFonts w:eastAsia="Times New Roman" w:cs="Arial"/>
          <w:bCs/>
          <w:snapToGrid w:val="0"/>
          <w:sz w:val="22"/>
        </w:rPr>
        <w:t>Septic system replacement</w:t>
      </w:r>
    </w:p>
    <w:p w14:paraId="1CB29B98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bCs/>
          <w:snapToGrid w:val="0"/>
          <w:sz w:val="22"/>
          <w:u w:val="single"/>
        </w:rPr>
      </w:pPr>
    </w:p>
    <w:p w14:paraId="0B07C73A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snapToGrid w:val="0"/>
          <w:sz w:val="22"/>
          <w:u w:val="single"/>
        </w:rPr>
      </w:pPr>
      <w:r w:rsidRPr="00600EC3">
        <w:rPr>
          <w:rFonts w:eastAsia="Times New Roman" w:cs="Arial"/>
          <w:snapToGrid w:val="0"/>
          <w:sz w:val="22"/>
          <w:u w:val="single"/>
        </w:rPr>
        <w:t xml:space="preserve">Consent Order settlement fee: </w:t>
      </w:r>
    </w:p>
    <w:p w14:paraId="4472A79B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b/>
          <w:bCs/>
          <w:snapToGrid w:val="0"/>
          <w:sz w:val="22"/>
        </w:rPr>
      </w:pPr>
      <w:r w:rsidRPr="00600EC3">
        <w:rPr>
          <w:rFonts w:eastAsia="Times New Roman" w:cs="Arial"/>
          <w:b/>
          <w:bCs/>
          <w:snapToGrid w:val="0"/>
          <w:sz w:val="22"/>
        </w:rPr>
        <w:t xml:space="preserve">$1,000.00 </w:t>
      </w:r>
    </w:p>
    <w:p w14:paraId="7D94AD3C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snapToGrid w:val="0"/>
          <w:sz w:val="22"/>
        </w:rPr>
      </w:pPr>
    </w:p>
    <w:p w14:paraId="4BC6E563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snapToGrid w:val="0"/>
          <w:sz w:val="22"/>
        </w:rPr>
      </w:pPr>
      <w:r w:rsidRPr="00600EC3">
        <w:rPr>
          <w:rFonts w:eastAsia="Times New Roman" w:cs="Arial"/>
          <w:snapToGrid w:val="0"/>
          <w:sz w:val="22"/>
          <w:u w:val="single"/>
        </w:rPr>
        <w:t>Consent Order requirements</w:t>
      </w:r>
      <w:r w:rsidRPr="00600EC3">
        <w:rPr>
          <w:rFonts w:eastAsia="Times New Roman" w:cs="Arial"/>
          <w:snapToGrid w:val="0"/>
          <w:sz w:val="22"/>
        </w:rPr>
        <w:t>:</w:t>
      </w:r>
    </w:p>
    <w:p w14:paraId="285AD3EB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snapToGrid w:val="0"/>
          <w:sz w:val="22"/>
        </w:rPr>
      </w:pPr>
      <w:r w:rsidRPr="00600EC3">
        <w:rPr>
          <w:rFonts w:eastAsia="Times New Roman" w:cs="Arial"/>
          <w:snapToGrid w:val="0"/>
          <w:sz w:val="22"/>
        </w:rPr>
        <w:t>Penalty only</w:t>
      </w:r>
    </w:p>
    <w:p w14:paraId="3F80A6C1" w14:textId="77777777" w:rsidR="00600EC3" w:rsidRPr="00600EC3" w:rsidRDefault="00600EC3" w:rsidP="00600EC3">
      <w:pPr>
        <w:widowControl w:val="0"/>
        <w:ind w:left="1440"/>
        <w:jc w:val="both"/>
        <w:rPr>
          <w:rFonts w:eastAsia="Times New Roman" w:cs="Arial"/>
          <w:snapToGrid w:val="0"/>
          <w:sz w:val="22"/>
        </w:rPr>
      </w:pPr>
    </w:p>
    <w:p w14:paraId="4589FF6C" w14:textId="77777777" w:rsidR="00600EC3" w:rsidRPr="00600EC3" w:rsidRDefault="00600EC3" w:rsidP="00600EC3">
      <w:pPr>
        <w:widowControl w:val="0"/>
        <w:ind w:left="1440"/>
        <w:jc w:val="both"/>
        <w:rPr>
          <w:rFonts w:eastAsia="Times New Roman" w:cs="Arial"/>
          <w:snapToGrid w:val="0"/>
          <w:sz w:val="22"/>
        </w:rPr>
      </w:pPr>
    </w:p>
    <w:p w14:paraId="5A18ACBF" w14:textId="77777777" w:rsidR="00600EC3" w:rsidRPr="00600EC3" w:rsidRDefault="00600EC3" w:rsidP="00600EC3">
      <w:pPr>
        <w:pStyle w:val="ListParagraph"/>
        <w:numPr>
          <w:ilvl w:val="0"/>
          <w:numId w:val="13"/>
        </w:numPr>
        <w:ind w:left="1440"/>
        <w:jc w:val="both"/>
        <w:rPr>
          <w:rFonts w:eastAsia="Arial" w:cs="Arial"/>
          <w:sz w:val="22"/>
        </w:rPr>
      </w:pPr>
      <w:r w:rsidRPr="00600EC3">
        <w:rPr>
          <w:rFonts w:eastAsia="Times New Roman" w:cs="Arial"/>
          <w:b/>
          <w:bCs/>
          <w:snapToGrid w:val="0"/>
          <w:sz w:val="22"/>
        </w:rPr>
        <w:t xml:space="preserve">Regal–J LLC </w:t>
      </w:r>
      <w:r w:rsidRPr="00600EC3">
        <w:rPr>
          <w:rFonts w:eastAsia="Times New Roman" w:cs="Arial"/>
          <w:snapToGrid w:val="0"/>
          <w:sz w:val="22"/>
        </w:rPr>
        <w:t xml:space="preserve">[WP-24-18] at </w:t>
      </w:r>
      <w:r w:rsidRPr="00600EC3">
        <w:rPr>
          <w:rFonts w:eastAsia="Calibri" w:cs="Arial"/>
          <w:kern w:val="2"/>
          <w:sz w:val="22"/>
          <w14:ligatures w14:val="standardContextual"/>
        </w:rPr>
        <w:t>5855 Ft Caroline Road,</w:t>
      </w:r>
      <w:r w:rsidRPr="00600EC3">
        <w:rPr>
          <w:rFonts w:eastAsia="Times New Roman" w:cs="Arial"/>
          <w:snapToGrid w:val="0"/>
          <w:sz w:val="22"/>
        </w:rPr>
        <w:t xml:space="preserve"> </w:t>
      </w:r>
      <w:r w:rsidRPr="00600EC3">
        <w:rPr>
          <w:rFonts w:eastAsia="Arial" w:cs="Arial"/>
          <w:sz w:val="22"/>
        </w:rPr>
        <w:t>Failure to comply with Wastewater Collection/Transmission System design standards; Failure to perform required maintenance; and Failure to keep detailed maintenance records.</w:t>
      </w:r>
    </w:p>
    <w:p w14:paraId="7FA80568" w14:textId="77777777" w:rsidR="00600EC3" w:rsidRPr="00600EC3" w:rsidRDefault="00600EC3" w:rsidP="00600EC3">
      <w:pPr>
        <w:ind w:left="1440"/>
        <w:jc w:val="both"/>
        <w:rPr>
          <w:rFonts w:eastAsia="Times New Roman" w:cs="Arial"/>
          <w:b/>
          <w:bCs/>
          <w:snapToGrid w:val="0"/>
          <w:sz w:val="22"/>
        </w:rPr>
      </w:pPr>
    </w:p>
    <w:p w14:paraId="6BE467CE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bCs/>
          <w:snapToGrid w:val="0"/>
          <w:sz w:val="22"/>
        </w:rPr>
      </w:pPr>
      <w:r w:rsidRPr="00600EC3">
        <w:rPr>
          <w:rFonts w:eastAsia="Times New Roman" w:cs="Arial"/>
          <w:bCs/>
          <w:snapToGrid w:val="0"/>
          <w:sz w:val="22"/>
          <w:u w:val="single"/>
        </w:rPr>
        <w:t>Corrective Actions:</w:t>
      </w:r>
    </w:p>
    <w:p w14:paraId="346F41F2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bCs/>
          <w:snapToGrid w:val="0"/>
          <w:sz w:val="22"/>
        </w:rPr>
      </w:pPr>
      <w:r w:rsidRPr="00600EC3">
        <w:rPr>
          <w:rFonts w:eastAsia="Times New Roman" w:cs="Arial"/>
          <w:bCs/>
          <w:snapToGrid w:val="0"/>
          <w:sz w:val="22"/>
        </w:rPr>
        <w:t>Replaced the EMTs</w:t>
      </w:r>
    </w:p>
    <w:p w14:paraId="2B41C159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bCs/>
          <w:snapToGrid w:val="0"/>
          <w:sz w:val="22"/>
          <w:u w:val="single"/>
        </w:rPr>
      </w:pPr>
    </w:p>
    <w:p w14:paraId="14A34468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snapToGrid w:val="0"/>
          <w:sz w:val="22"/>
          <w:u w:val="single"/>
        </w:rPr>
      </w:pPr>
      <w:r w:rsidRPr="00600EC3">
        <w:rPr>
          <w:rFonts w:eastAsia="Times New Roman" w:cs="Arial"/>
          <w:snapToGrid w:val="0"/>
          <w:sz w:val="22"/>
          <w:u w:val="single"/>
        </w:rPr>
        <w:t xml:space="preserve">Consent Order settlement fee: </w:t>
      </w:r>
    </w:p>
    <w:p w14:paraId="568411C9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b/>
          <w:bCs/>
          <w:snapToGrid w:val="0"/>
          <w:sz w:val="22"/>
        </w:rPr>
      </w:pPr>
      <w:r w:rsidRPr="00600EC3">
        <w:rPr>
          <w:rFonts w:eastAsia="Times New Roman" w:cs="Arial"/>
          <w:b/>
          <w:bCs/>
          <w:snapToGrid w:val="0"/>
          <w:sz w:val="22"/>
        </w:rPr>
        <w:t>$0</w:t>
      </w:r>
    </w:p>
    <w:p w14:paraId="23AB3B37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snapToGrid w:val="0"/>
          <w:sz w:val="22"/>
        </w:rPr>
      </w:pPr>
    </w:p>
    <w:p w14:paraId="7B0B75BC" w14:textId="77777777" w:rsidR="00600EC3" w:rsidRPr="00600EC3" w:rsidRDefault="00600EC3" w:rsidP="00600EC3">
      <w:pPr>
        <w:widowControl w:val="0"/>
        <w:ind w:left="2160"/>
        <w:rPr>
          <w:rFonts w:eastAsia="Times New Roman" w:cs="Arial"/>
          <w:snapToGrid w:val="0"/>
          <w:sz w:val="22"/>
        </w:rPr>
      </w:pPr>
      <w:r w:rsidRPr="00600EC3">
        <w:rPr>
          <w:rFonts w:eastAsia="Times New Roman" w:cs="Arial"/>
          <w:snapToGrid w:val="0"/>
          <w:sz w:val="22"/>
          <w:u w:val="single"/>
        </w:rPr>
        <w:t>Consent Order requirements</w:t>
      </w:r>
      <w:r w:rsidRPr="00600EC3">
        <w:rPr>
          <w:rFonts w:eastAsia="Times New Roman" w:cs="Arial"/>
          <w:snapToGrid w:val="0"/>
          <w:sz w:val="22"/>
        </w:rPr>
        <w:t>:</w:t>
      </w:r>
    </w:p>
    <w:p w14:paraId="01B09574" w14:textId="77777777" w:rsidR="00600EC3" w:rsidRPr="00600EC3" w:rsidRDefault="00600EC3" w:rsidP="00600EC3">
      <w:pPr>
        <w:pStyle w:val="ListParagraph"/>
        <w:widowControl w:val="0"/>
        <w:numPr>
          <w:ilvl w:val="3"/>
          <w:numId w:val="13"/>
        </w:numPr>
        <w:rPr>
          <w:rFonts w:eastAsia="Times New Roman" w:cs="Arial"/>
          <w:snapToGrid w:val="0"/>
          <w:sz w:val="22"/>
        </w:rPr>
      </w:pPr>
      <w:r w:rsidRPr="00600EC3">
        <w:rPr>
          <w:rFonts w:eastAsia="Times New Roman" w:cs="Arial"/>
          <w:snapToGrid w:val="0"/>
          <w:sz w:val="22"/>
        </w:rPr>
        <w:t>The Engineer Report</w:t>
      </w:r>
    </w:p>
    <w:p w14:paraId="6E6222D5" w14:textId="77777777" w:rsidR="00600EC3" w:rsidRPr="00600EC3" w:rsidRDefault="00600EC3" w:rsidP="00600EC3">
      <w:pPr>
        <w:pStyle w:val="ListParagraph"/>
        <w:widowControl w:val="0"/>
        <w:numPr>
          <w:ilvl w:val="3"/>
          <w:numId w:val="13"/>
        </w:numPr>
        <w:rPr>
          <w:rFonts w:eastAsia="Times New Roman" w:cs="Arial"/>
          <w:snapToGrid w:val="0"/>
          <w:sz w:val="22"/>
        </w:rPr>
      </w:pPr>
      <w:r w:rsidRPr="00600EC3">
        <w:rPr>
          <w:rFonts w:eastAsia="Times New Roman" w:cs="Arial"/>
          <w:snapToGrid w:val="0"/>
          <w:sz w:val="22"/>
        </w:rPr>
        <w:t>Monthly Status Reports</w:t>
      </w:r>
    </w:p>
    <w:p w14:paraId="45DF3F37" w14:textId="77777777" w:rsidR="00600EC3" w:rsidRPr="00600EC3" w:rsidRDefault="00600EC3" w:rsidP="00600EC3">
      <w:pPr>
        <w:pStyle w:val="ListParagraph"/>
        <w:widowControl w:val="0"/>
        <w:numPr>
          <w:ilvl w:val="3"/>
          <w:numId w:val="13"/>
        </w:numPr>
        <w:rPr>
          <w:rFonts w:eastAsia="Times New Roman" w:cs="Arial"/>
          <w:snapToGrid w:val="0"/>
          <w:sz w:val="22"/>
        </w:rPr>
      </w:pPr>
      <w:r w:rsidRPr="00600EC3">
        <w:rPr>
          <w:rFonts w:eastAsia="Times New Roman" w:cs="Arial"/>
          <w:snapToGrid w:val="0"/>
          <w:sz w:val="22"/>
        </w:rPr>
        <w:t>Monthly Maintenance Records</w:t>
      </w:r>
    </w:p>
    <w:bookmarkEnd w:id="2"/>
    <w:p w14:paraId="09E423C9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lastRenderedPageBreak/>
        <w:t>V. ENFORCEMENT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103D9C75" w14:textId="77777777" w:rsidR="00807136" w:rsidRDefault="00807136" w:rsidP="00807136">
      <w:pPr>
        <w:spacing w:after="200" w:line="276" w:lineRule="auto"/>
        <w:ind w:left="720"/>
        <w:contextualSpacing/>
        <w:rPr>
          <w:rFonts w:ascii="Century Gothic" w:eastAsia="Times New Roman" w:hAnsi="Century Gothic" w:cs="Times New Roman"/>
          <w:sz w:val="22"/>
        </w:rPr>
      </w:pPr>
    </w:p>
    <w:p w14:paraId="26A7DE17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NEW BUSINESS</w:t>
      </w:r>
    </w:p>
    <w:p w14:paraId="37B494F9" w14:textId="77777777" w:rsidR="00600EC3" w:rsidRPr="00600EC3" w:rsidRDefault="00600EC3" w:rsidP="00600EC3">
      <w:pPr>
        <w:keepNext/>
        <w:keepLines/>
        <w:numPr>
          <w:ilvl w:val="1"/>
          <w:numId w:val="14"/>
        </w:numPr>
        <w:ind w:left="720"/>
        <w:outlineLvl w:val="0"/>
        <w:rPr>
          <w:rFonts w:eastAsiaTheme="majorEastAsia" w:cs="Arial"/>
          <w:sz w:val="22"/>
        </w:rPr>
      </w:pPr>
      <w:r w:rsidRPr="00600EC3">
        <w:rPr>
          <w:rFonts w:eastAsiaTheme="majorEastAsia" w:cs="Arial"/>
          <w:sz w:val="22"/>
        </w:rPr>
        <w:t xml:space="preserve">Noise Variance – Haskell </w:t>
      </w:r>
    </w:p>
    <w:p w14:paraId="25C3EF6C" w14:textId="77777777" w:rsidR="00600EC3" w:rsidRPr="00600EC3" w:rsidRDefault="00600EC3" w:rsidP="00600EC3">
      <w:pPr>
        <w:keepNext/>
        <w:keepLines/>
        <w:numPr>
          <w:ilvl w:val="1"/>
          <w:numId w:val="14"/>
        </w:numPr>
        <w:ind w:left="720"/>
        <w:outlineLvl w:val="0"/>
        <w:rPr>
          <w:rFonts w:eastAsiaTheme="majorEastAsia" w:cs="Arial"/>
          <w:sz w:val="22"/>
        </w:rPr>
      </w:pPr>
      <w:r w:rsidRPr="00600EC3">
        <w:rPr>
          <w:rFonts w:eastAsiaTheme="majorEastAsia" w:cs="Arial"/>
          <w:sz w:val="22"/>
        </w:rPr>
        <w:t xml:space="preserve">Noise Variance - </w:t>
      </w:r>
      <w:proofErr w:type="spellStart"/>
      <w:r w:rsidRPr="00600EC3">
        <w:rPr>
          <w:rFonts w:eastAsiaTheme="majorEastAsia" w:cs="Arial"/>
          <w:sz w:val="22"/>
        </w:rPr>
        <w:t>FaverGray</w:t>
      </w:r>
      <w:proofErr w:type="spellEnd"/>
    </w:p>
    <w:p w14:paraId="68C4C957" w14:textId="77777777" w:rsidR="00600EC3" w:rsidRPr="00600EC3" w:rsidRDefault="00600EC3" w:rsidP="00600EC3">
      <w:pPr>
        <w:keepNext/>
        <w:keepLines/>
        <w:numPr>
          <w:ilvl w:val="1"/>
          <w:numId w:val="14"/>
        </w:numPr>
        <w:ind w:left="720"/>
        <w:outlineLvl w:val="0"/>
        <w:rPr>
          <w:rFonts w:eastAsiaTheme="majorEastAsia" w:cs="Arial"/>
          <w:sz w:val="22"/>
        </w:rPr>
      </w:pPr>
      <w:r w:rsidRPr="00600EC3">
        <w:rPr>
          <w:rFonts w:eastAsiaTheme="majorEastAsia" w:cs="Arial"/>
          <w:sz w:val="22"/>
        </w:rPr>
        <w:t>Funding Request – SJRK Resilient Ribault</w:t>
      </w:r>
    </w:p>
    <w:p w14:paraId="606CF6E7" w14:textId="77777777" w:rsidR="00600EC3" w:rsidRPr="00600EC3" w:rsidRDefault="00600EC3" w:rsidP="00600EC3">
      <w:pPr>
        <w:keepNext/>
        <w:keepLines/>
        <w:numPr>
          <w:ilvl w:val="1"/>
          <w:numId w:val="14"/>
        </w:numPr>
        <w:ind w:left="720"/>
        <w:outlineLvl w:val="0"/>
        <w:rPr>
          <w:rFonts w:eastAsiaTheme="majorEastAsia" w:cs="Arial"/>
          <w:sz w:val="22"/>
        </w:rPr>
      </w:pPr>
      <w:r w:rsidRPr="00600EC3">
        <w:rPr>
          <w:rFonts w:eastAsiaTheme="majorEastAsia" w:cs="Arial"/>
          <w:sz w:val="22"/>
        </w:rPr>
        <w:t>Proclamation of April as Water Conservation Month</w:t>
      </w:r>
    </w:p>
    <w:p w14:paraId="57AFA2E8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08098CBB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OLD BUSINESS </w:t>
      </w:r>
    </w:p>
    <w:p w14:paraId="71688B5E" w14:textId="77777777" w:rsidR="00807136" w:rsidRDefault="00807136" w:rsidP="00807136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r w:rsidRPr="00EF6F8F">
        <w:rPr>
          <w:rFonts w:ascii="Century Gothic" w:hAnsi="Century Gothic"/>
          <w:sz w:val="22"/>
        </w:rPr>
        <w:t>None</w:t>
      </w:r>
    </w:p>
    <w:p w14:paraId="52B78025" w14:textId="77777777" w:rsidR="00807136" w:rsidRPr="00EF6F8F" w:rsidRDefault="00807136" w:rsidP="00807136">
      <w:pPr>
        <w:ind w:left="720"/>
        <w:rPr>
          <w:rFonts w:ascii="Century Gothic" w:hAnsi="Century Gothic"/>
          <w:sz w:val="22"/>
        </w:rPr>
      </w:pPr>
    </w:p>
    <w:p w14:paraId="64BBF3F7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PRESENTATION(s)</w:t>
      </w:r>
    </w:p>
    <w:p w14:paraId="198B337C" w14:textId="2A1A3687" w:rsidR="00807136" w:rsidRDefault="00600EC3" w:rsidP="00807136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Hart Bridge Project Award – April Meeting</w:t>
      </w:r>
    </w:p>
    <w:p w14:paraId="0FE86D6F" w14:textId="525A6CB1" w:rsidR="00600EC3" w:rsidRDefault="00600EC3" w:rsidP="00807136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JEA Project Updates and Readiness – May Meeting</w:t>
      </w:r>
    </w:p>
    <w:p w14:paraId="0C42CCFB" w14:textId="77777777" w:rsidR="00807136" w:rsidRPr="008D2E62" w:rsidRDefault="00807136" w:rsidP="00807136">
      <w:pPr>
        <w:pStyle w:val="ListParagraph"/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79BE5DBF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IX.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PUBLIC HEARING(s) </w:t>
      </w:r>
    </w:p>
    <w:p w14:paraId="171F5ACE" w14:textId="77777777" w:rsidR="00807136" w:rsidRDefault="00807136" w:rsidP="00807136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bookmarkStart w:id="6" w:name="_Hlk158819444"/>
      <w:r>
        <w:rPr>
          <w:rFonts w:ascii="Century Gothic" w:hAnsi="Century Gothic"/>
          <w:sz w:val="22"/>
        </w:rPr>
        <w:t>None</w:t>
      </w:r>
    </w:p>
    <w:bookmarkEnd w:id="6"/>
    <w:p w14:paraId="28EB5266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66C4EA6B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COMMISSION &amp; JEPB COMMITTEE UPDATES &amp; REPORTS</w:t>
      </w:r>
    </w:p>
    <w:p w14:paraId="2B620322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Waterways Commission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ADAM HOYLES</w:t>
      </w:r>
    </w:p>
    <w:p w14:paraId="6A1EF748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>KJB Commission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DAN DURBEC</w:t>
      </w:r>
    </w:p>
    <w:p w14:paraId="41016D62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JEPB Water Committee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TERRY CARR</w:t>
      </w:r>
    </w:p>
    <w:p w14:paraId="6ECE157A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JEPB Air Committee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MICHAEL WILLIAMS</w:t>
      </w:r>
    </w:p>
    <w:p w14:paraId="731AD118" w14:textId="77777777" w:rsidR="00807136" w:rsidRDefault="00807136" w:rsidP="00807136">
      <w:p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</w:p>
    <w:p w14:paraId="66D47596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  </w:t>
      </w:r>
      <w:r w:rsidRPr="00172B7C">
        <w:rPr>
          <w:rFonts w:ascii="Century Gothic" w:eastAsiaTheme="majorEastAsia" w:hAnsi="Century Gothic" w:cstheme="majorBidi"/>
          <w:color w:val="4F81BD" w:themeColor="accent1"/>
          <w:sz w:val="22"/>
        </w:rPr>
        <w:t>EPB ADMINISTRATOR REPORT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  <w:t>JAMES RICHARDSON</w:t>
      </w:r>
    </w:p>
    <w:p w14:paraId="7FAFDCAC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8B1A2E1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ENVIRONMENTAL QUALITY DIVISION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71C256E5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78C8222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ITEMS REFERRED TO COMMITTEES</w:t>
      </w:r>
    </w:p>
    <w:p w14:paraId="74691E67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2"/>
        </w:rPr>
      </w:pPr>
    </w:p>
    <w:p w14:paraId="7FC03D44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V. NEXT SCHEDULED BOARD MEETING(s) </w:t>
      </w:r>
    </w:p>
    <w:p w14:paraId="52A4627A" w14:textId="77777777" w:rsidR="00DF6E1B" w:rsidRDefault="00DF6E1B" w:rsidP="00DF6E1B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Committee Meetings</w:t>
      </w:r>
    </w:p>
    <w:p w14:paraId="0762BD70" w14:textId="77777777" w:rsidR="00DF6E1B" w:rsidRPr="00F53364" w:rsidRDefault="00DF6E1B" w:rsidP="00DF6E1B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Water Committee – Monday, March 24, 2025, at 4:30 pm</w:t>
      </w:r>
    </w:p>
    <w:p w14:paraId="720A205D" w14:textId="77777777" w:rsidR="00DF6E1B" w:rsidRDefault="00DF6E1B" w:rsidP="00DF6E1B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Air Committee – Monday, March 24, </w:t>
      </w:r>
      <w:proofErr w:type="gramStart"/>
      <w:r>
        <w:rPr>
          <w:rFonts w:ascii="Century Gothic" w:hAnsi="Century Gothic" w:cs="Century Gothic"/>
          <w:sz w:val="22"/>
        </w:rPr>
        <w:t>2025</w:t>
      </w:r>
      <w:proofErr w:type="gramEnd"/>
      <w:r>
        <w:rPr>
          <w:rFonts w:ascii="Century Gothic" w:hAnsi="Century Gothic" w:cs="Century Gothic"/>
          <w:sz w:val="22"/>
        </w:rPr>
        <w:t xml:space="preserve"> at 5:30 pm</w:t>
      </w:r>
    </w:p>
    <w:p w14:paraId="0CFB509E" w14:textId="5D184699" w:rsidR="00807136" w:rsidRPr="00DF6E1B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DF6E1B">
        <w:rPr>
          <w:rFonts w:ascii="Century Gothic" w:hAnsi="Century Gothic" w:cs="Century Gothic"/>
          <w:sz w:val="22"/>
        </w:rPr>
        <w:t xml:space="preserve">JEPB Steering Committee – Monday, </w:t>
      </w:r>
      <w:r w:rsidR="00DF6E1B">
        <w:rPr>
          <w:rFonts w:ascii="Century Gothic" w:hAnsi="Century Gothic" w:cs="Century Gothic"/>
          <w:sz w:val="22"/>
        </w:rPr>
        <w:t>April 14</w:t>
      </w:r>
      <w:r w:rsidR="00313637" w:rsidRPr="00DF6E1B">
        <w:rPr>
          <w:rFonts w:ascii="Century Gothic" w:hAnsi="Century Gothic" w:cs="Century Gothic"/>
          <w:sz w:val="22"/>
        </w:rPr>
        <w:t>, 2025</w:t>
      </w:r>
      <w:r w:rsidRPr="00DF6E1B">
        <w:rPr>
          <w:rFonts w:ascii="Century Gothic" w:hAnsi="Century Gothic" w:cs="Century Gothic"/>
          <w:sz w:val="22"/>
        </w:rPr>
        <w:t>, at 4:00 pm</w:t>
      </w:r>
    </w:p>
    <w:p w14:paraId="20507B11" w14:textId="45330F85" w:rsidR="00807136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F53364">
        <w:rPr>
          <w:rFonts w:ascii="Century Gothic" w:hAnsi="Century Gothic" w:cs="Century Gothic"/>
          <w:sz w:val="22"/>
        </w:rPr>
        <w:t xml:space="preserve">JEPB Monthly Meeting – </w:t>
      </w:r>
      <w:r w:rsidR="00DF6E1B">
        <w:rPr>
          <w:rFonts w:ascii="Century Gothic" w:hAnsi="Century Gothic" w:cs="Century Gothic"/>
          <w:sz w:val="22"/>
        </w:rPr>
        <w:t>Monday</w:t>
      </w:r>
      <w:r w:rsidR="00313637">
        <w:rPr>
          <w:rFonts w:ascii="Century Gothic" w:hAnsi="Century Gothic" w:cs="Century Gothic"/>
          <w:sz w:val="22"/>
        </w:rPr>
        <w:t xml:space="preserve">, </w:t>
      </w:r>
      <w:r w:rsidR="00DF6E1B">
        <w:rPr>
          <w:rFonts w:ascii="Century Gothic" w:hAnsi="Century Gothic" w:cs="Century Gothic"/>
          <w:sz w:val="22"/>
        </w:rPr>
        <w:t>April 21</w:t>
      </w:r>
      <w:r w:rsidR="00313637">
        <w:rPr>
          <w:rFonts w:ascii="Century Gothic" w:hAnsi="Century Gothic" w:cs="Century Gothic"/>
          <w:sz w:val="22"/>
        </w:rPr>
        <w:t>, 2025</w:t>
      </w:r>
      <w:r w:rsidRPr="00F53364">
        <w:rPr>
          <w:rFonts w:ascii="Century Gothic" w:hAnsi="Century Gothic" w:cs="Century Gothic"/>
          <w:sz w:val="22"/>
        </w:rPr>
        <w:t>, at 5:00 pm</w:t>
      </w:r>
    </w:p>
    <w:p w14:paraId="19190B8E" w14:textId="77777777" w:rsidR="00807136" w:rsidRDefault="00807136" w:rsidP="00807136">
      <w:p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18"/>
          <w:szCs w:val="18"/>
        </w:rPr>
      </w:pPr>
    </w:p>
    <w:p w14:paraId="70DCFFC1" w14:textId="77777777" w:rsidR="00807136" w:rsidRPr="00E257B3" w:rsidRDefault="00807136" w:rsidP="00807136">
      <w:pPr>
        <w:keepNext/>
        <w:keepLines/>
        <w:outlineLvl w:val="0"/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XV.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ADJOURNMENT </w:t>
      </w:r>
    </w:p>
    <w:p w14:paraId="694C7FA7" w14:textId="77777777" w:rsidR="00807136" w:rsidRPr="00CF5FAD" w:rsidRDefault="00807136" w:rsidP="00807136"/>
    <w:p w14:paraId="36CA2347" w14:textId="77777777" w:rsidR="00807136" w:rsidRPr="00CF5FAD" w:rsidRDefault="00807136" w:rsidP="00807136"/>
    <w:p w14:paraId="1F75849D" w14:textId="77777777" w:rsidR="00CF5FAD" w:rsidRPr="00CF5FAD" w:rsidRDefault="00CF5FAD" w:rsidP="00CF5FAD"/>
    <w:p w14:paraId="7A6D424A" w14:textId="77777777" w:rsidR="00CF5FAD" w:rsidRPr="00CF5FAD" w:rsidRDefault="00CF5FAD" w:rsidP="00CF5FAD"/>
    <w:p w14:paraId="37F05020" w14:textId="43C3FAF2" w:rsidR="00487293" w:rsidRPr="00E257B3" w:rsidRDefault="00487293" w:rsidP="00CF5FAD">
      <w:pPr>
        <w:jc w:val="center"/>
      </w:pPr>
    </w:p>
    <w:sectPr w:rsidR="00487293" w:rsidRPr="00E257B3" w:rsidSect="00683D3D"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42DDDD80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Thomas Deck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</w:t>
          </w:r>
          <w:proofErr w:type="gramStart"/>
          <w:r w:rsidR="00AA7533">
            <w:rPr>
              <w:color w:val="1F497D" w:themeColor="text2"/>
              <w:sz w:val="16"/>
              <w:szCs w:val="16"/>
            </w:rPr>
            <w:t xml:space="preserve">LMHC, </w:t>
          </w:r>
          <w:r w:rsidR="00E04211">
            <w:rPr>
              <w:color w:val="1F497D" w:themeColor="text2"/>
              <w:sz w:val="16"/>
              <w:szCs w:val="16"/>
            </w:rPr>
            <w:t xml:space="preserve">  </w:t>
          </w:r>
          <w:proofErr w:type="gramEnd"/>
          <w:r w:rsidR="00E04211">
            <w:rPr>
              <w:color w:val="1F497D" w:themeColor="text2"/>
              <w:sz w:val="16"/>
              <w:szCs w:val="16"/>
            </w:rPr>
            <w:t xml:space="preserve">            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 xml:space="preserve">, </w:t>
          </w:r>
          <w:r w:rsidR="001E7050">
            <w:rPr>
              <w:color w:val="1F497D" w:themeColor="text2"/>
              <w:sz w:val="16"/>
              <w:szCs w:val="16"/>
            </w:rPr>
            <w:t>Guillermo Simon</w:t>
          </w:r>
          <w:r w:rsidR="00AA7533">
            <w:rPr>
              <w:color w:val="1F497D" w:themeColor="text2"/>
              <w:sz w:val="16"/>
              <w:szCs w:val="16"/>
            </w:rPr>
            <w:t xml:space="preserve">, P.E., </w:t>
          </w:r>
          <w:r w:rsidR="00E04211">
            <w:rPr>
              <w:color w:val="1F497D" w:themeColor="text2"/>
              <w:sz w:val="16"/>
              <w:szCs w:val="16"/>
            </w:rPr>
            <w:t xml:space="preserve">               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C601666" w:rsidR="000B378F" w:rsidRDefault="00640361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3FFE86F6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Adam Hoyles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77777777" w:rsidR="001E7050" w:rsidRDefault="001E7050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Guillermo Simon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F06"/>
    <w:multiLevelType w:val="hybridMultilevel"/>
    <w:tmpl w:val="35E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075"/>
    <w:multiLevelType w:val="hybridMultilevel"/>
    <w:tmpl w:val="0DAE4AB8"/>
    <w:lvl w:ilvl="0" w:tplc="B016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0AC"/>
    <w:multiLevelType w:val="hybridMultilevel"/>
    <w:tmpl w:val="2BAC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1E24"/>
    <w:multiLevelType w:val="hybridMultilevel"/>
    <w:tmpl w:val="55DA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01312D"/>
    <w:multiLevelType w:val="hybridMultilevel"/>
    <w:tmpl w:val="2B94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14A87"/>
    <w:multiLevelType w:val="hybridMultilevel"/>
    <w:tmpl w:val="AF58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A05"/>
    <w:multiLevelType w:val="hybridMultilevel"/>
    <w:tmpl w:val="703AD6B6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8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51B8F"/>
    <w:multiLevelType w:val="hybridMultilevel"/>
    <w:tmpl w:val="135054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0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F1A2A"/>
    <w:multiLevelType w:val="hybridMultilevel"/>
    <w:tmpl w:val="DB5A92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6367C96"/>
    <w:multiLevelType w:val="hybridMultilevel"/>
    <w:tmpl w:val="53D23A5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E1C4DF3"/>
    <w:multiLevelType w:val="hybridMultilevel"/>
    <w:tmpl w:val="2D86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4"/>
  </w:num>
  <w:num w:numId="2" w16cid:durableId="2133209597">
    <w:abstractNumId w:val="8"/>
  </w:num>
  <w:num w:numId="3" w16cid:durableId="1314215821">
    <w:abstractNumId w:val="2"/>
  </w:num>
  <w:num w:numId="4" w16cid:durableId="1893926941">
    <w:abstractNumId w:val="10"/>
  </w:num>
  <w:num w:numId="5" w16cid:durableId="1683168007">
    <w:abstractNumId w:val="13"/>
  </w:num>
  <w:num w:numId="6" w16cid:durableId="246572459">
    <w:abstractNumId w:val="7"/>
  </w:num>
  <w:num w:numId="7" w16cid:durableId="524369335">
    <w:abstractNumId w:val="1"/>
  </w:num>
  <w:num w:numId="8" w16cid:durableId="801508636">
    <w:abstractNumId w:val="5"/>
  </w:num>
  <w:num w:numId="9" w16cid:durableId="1803884984">
    <w:abstractNumId w:val="11"/>
  </w:num>
  <w:num w:numId="10" w16cid:durableId="2133815569">
    <w:abstractNumId w:val="12"/>
  </w:num>
  <w:num w:numId="11" w16cid:durableId="1474525322">
    <w:abstractNumId w:val="6"/>
  </w:num>
  <w:num w:numId="12" w16cid:durableId="1676181298">
    <w:abstractNumId w:val="0"/>
  </w:num>
  <w:num w:numId="13" w16cid:durableId="629823490">
    <w:abstractNumId w:val="3"/>
  </w:num>
  <w:num w:numId="14" w16cid:durableId="260650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B378F"/>
    <w:rsid w:val="000C6F3A"/>
    <w:rsid w:val="000F681E"/>
    <w:rsid w:val="000F6F9E"/>
    <w:rsid w:val="00104363"/>
    <w:rsid w:val="00182EE2"/>
    <w:rsid w:val="001E7050"/>
    <w:rsid w:val="00211C95"/>
    <w:rsid w:val="002B2EF8"/>
    <w:rsid w:val="002E2051"/>
    <w:rsid w:val="00313637"/>
    <w:rsid w:val="00323D40"/>
    <w:rsid w:val="003355F7"/>
    <w:rsid w:val="00362355"/>
    <w:rsid w:val="003852C0"/>
    <w:rsid w:val="00394A11"/>
    <w:rsid w:val="004501F8"/>
    <w:rsid w:val="00487293"/>
    <w:rsid w:val="004C2A9C"/>
    <w:rsid w:val="0050164B"/>
    <w:rsid w:val="0050363F"/>
    <w:rsid w:val="00517AC6"/>
    <w:rsid w:val="00584588"/>
    <w:rsid w:val="005960BE"/>
    <w:rsid w:val="005C5097"/>
    <w:rsid w:val="00600EC3"/>
    <w:rsid w:val="0063548D"/>
    <w:rsid w:val="00640361"/>
    <w:rsid w:val="006826BB"/>
    <w:rsid w:val="00683D3D"/>
    <w:rsid w:val="006F3EF1"/>
    <w:rsid w:val="00762556"/>
    <w:rsid w:val="008017C6"/>
    <w:rsid w:val="00807136"/>
    <w:rsid w:val="008A4B6B"/>
    <w:rsid w:val="008E60E9"/>
    <w:rsid w:val="00936614"/>
    <w:rsid w:val="00970DA0"/>
    <w:rsid w:val="009A14FC"/>
    <w:rsid w:val="009D3A4C"/>
    <w:rsid w:val="00A439F0"/>
    <w:rsid w:val="00A77E44"/>
    <w:rsid w:val="00A94C57"/>
    <w:rsid w:val="00AA398B"/>
    <w:rsid w:val="00AA7533"/>
    <w:rsid w:val="00AC3542"/>
    <w:rsid w:val="00AD5582"/>
    <w:rsid w:val="00B25551"/>
    <w:rsid w:val="00B479B2"/>
    <w:rsid w:val="00BB5C12"/>
    <w:rsid w:val="00C038F6"/>
    <w:rsid w:val="00C31DC7"/>
    <w:rsid w:val="00C51E5E"/>
    <w:rsid w:val="00C75B6B"/>
    <w:rsid w:val="00CA2D70"/>
    <w:rsid w:val="00CF1E4D"/>
    <w:rsid w:val="00CF5FAD"/>
    <w:rsid w:val="00D03439"/>
    <w:rsid w:val="00D26FB5"/>
    <w:rsid w:val="00D709DF"/>
    <w:rsid w:val="00DF6E1B"/>
    <w:rsid w:val="00E04211"/>
    <w:rsid w:val="00E257B3"/>
    <w:rsid w:val="00E26100"/>
    <w:rsid w:val="00E6361D"/>
    <w:rsid w:val="00EF17DF"/>
    <w:rsid w:val="00F6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EREQ</cp:lastModifiedBy>
  <cp:revision>3</cp:revision>
  <cp:lastPrinted>2022-07-29T15:38:00Z</cp:lastPrinted>
  <dcterms:created xsi:type="dcterms:W3CDTF">2025-03-14T03:13:00Z</dcterms:created>
  <dcterms:modified xsi:type="dcterms:W3CDTF">2025-03-17T15:00:00Z</dcterms:modified>
</cp:coreProperties>
</file>