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2705" w14:textId="77777777" w:rsidR="00B14080" w:rsidRPr="00B06508" w:rsidRDefault="00B14080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Jacksonville Environmental Protection Board</w:t>
      </w:r>
    </w:p>
    <w:p w14:paraId="6BF3CFBE" w14:textId="406D69B0" w:rsidR="00B14080" w:rsidRPr="00B06508" w:rsidRDefault="00DC5437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Monday, </w:t>
      </w:r>
      <w:r w:rsidR="000E706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April 21</w:t>
      </w:r>
      <w:r w:rsidR="0068395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, 2025</w:t>
      </w:r>
    </w:p>
    <w:p w14:paraId="03759F91" w14:textId="77777777" w:rsidR="00B14080" w:rsidRPr="00B06508" w:rsidRDefault="00B14080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MONTHLY 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MEETING SUMMARY</w:t>
      </w:r>
    </w:p>
    <w:p w14:paraId="527734BF" w14:textId="77777777" w:rsidR="00B14080" w:rsidRPr="00B06508" w:rsidRDefault="00B14080" w:rsidP="00B14080"/>
    <w:p w14:paraId="422F70A2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MEMBERS PRESENT:</w:t>
      </w:r>
    </w:p>
    <w:p w14:paraId="3100CA3F" w14:textId="77777777" w:rsidR="00B14080" w:rsidRPr="00B06508" w:rsidRDefault="00B14080" w:rsidP="00B14080">
      <w:pPr>
        <w:sectPr w:rsidR="00B14080" w:rsidRPr="00B06508" w:rsidSect="00B14080">
          <w:headerReference w:type="first" r:id="rId8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3E3E672F" w14:textId="77777777" w:rsidR="0099762A" w:rsidRDefault="0099762A" w:rsidP="0099762A">
      <w:r w:rsidRPr="00B06508">
        <w:t>Thomas Deck</w:t>
      </w:r>
      <w:r>
        <w:t>, Chair</w:t>
      </w:r>
      <w:r w:rsidRPr="00B06508">
        <w:t xml:space="preserve"> </w:t>
      </w:r>
    </w:p>
    <w:p w14:paraId="7B094F9C" w14:textId="77777777" w:rsidR="0099762A" w:rsidRDefault="0099762A" w:rsidP="0099762A">
      <w:r>
        <w:t xml:space="preserve">Sunil Joshi, M.D </w:t>
      </w:r>
    </w:p>
    <w:p w14:paraId="2B4935F0" w14:textId="77777777" w:rsidR="003C20D5" w:rsidRDefault="00DA6D5B" w:rsidP="00B14080">
      <w:r>
        <w:t>A</w:t>
      </w:r>
      <w:r w:rsidRPr="00920EB3">
        <w:t>dam Hoyles</w:t>
      </w:r>
      <w:r>
        <w:t>, Vice-Chair</w:t>
      </w:r>
    </w:p>
    <w:p w14:paraId="4C54C045" w14:textId="3393CA8B" w:rsidR="003C20D5" w:rsidRDefault="00B10013" w:rsidP="00B14080">
      <w:r>
        <w:t>Josh Gellers, Ph.D.</w:t>
      </w:r>
      <w:r w:rsidR="00B327CF">
        <w:tab/>
      </w:r>
      <w:r w:rsidR="00B327CF">
        <w:tab/>
      </w:r>
    </w:p>
    <w:p w14:paraId="5819383F" w14:textId="77777777" w:rsidR="003A4A5A" w:rsidRDefault="003A4A5A" w:rsidP="00B14080">
      <w:pPr>
        <w:sectPr w:rsidR="003A4A5A" w:rsidSect="0099762A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4886271D" w14:textId="77777777" w:rsidR="000E7062" w:rsidRDefault="000E7062" w:rsidP="000E7062">
      <w:r>
        <w:t xml:space="preserve">Desiree Jones </w:t>
      </w:r>
    </w:p>
    <w:p w14:paraId="5D97532F" w14:textId="77777777" w:rsidR="000E7062" w:rsidRDefault="000E7062" w:rsidP="000E7062">
      <w:r>
        <w:t>Margarete Vest, P.E</w:t>
      </w:r>
    </w:p>
    <w:p w14:paraId="115F0F23" w14:textId="77777777" w:rsidR="000E7062" w:rsidRDefault="000E7062" w:rsidP="000E7062">
      <w:r>
        <w:t>Clint Noble, P.G.</w:t>
      </w:r>
    </w:p>
    <w:p w14:paraId="77693E88" w14:textId="77777777" w:rsidR="008B5A7B" w:rsidRDefault="008B5A7B" w:rsidP="008B5A7B">
      <w:r>
        <w:t>Guillermo Simon, P.E.</w:t>
      </w:r>
    </w:p>
    <w:p w14:paraId="6755CA96" w14:textId="08C7E37B" w:rsidR="00683950" w:rsidRDefault="00683950" w:rsidP="00B14080">
      <w:r>
        <w:t>Megan Ferer</w:t>
      </w:r>
    </w:p>
    <w:p w14:paraId="432EF052" w14:textId="77777777" w:rsidR="00683950" w:rsidRDefault="00683950" w:rsidP="00B14080">
      <w:pPr>
        <w:sectPr w:rsidR="00683950" w:rsidSect="0099762A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112DD7EA" w14:textId="77777777" w:rsidR="0099762A" w:rsidRDefault="0099762A" w:rsidP="00B14080">
      <w:pPr>
        <w:sectPr w:rsidR="0099762A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3CF72921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MEMBERS NOT PRESENT:</w:t>
      </w:r>
    </w:p>
    <w:p w14:paraId="70F1A237" w14:textId="77777777" w:rsidR="00B14080" w:rsidRPr="00B06508" w:rsidRDefault="00B14080" w:rsidP="00B14080">
      <w:pPr>
        <w:sectPr w:rsidR="00B14080" w:rsidRPr="00B06508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26C0DCCA" w14:textId="77777777" w:rsidR="0099762A" w:rsidRDefault="0099762A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sectPr w:rsidR="0099762A" w:rsidSect="0099762A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4E30C0E1" w14:textId="13F8F60F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STAFF/RESOURCES PRESENT:</w:t>
      </w:r>
    </w:p>
    <w:p w14:paraId="3F644BCF" w14:textId="77777777" w:rsidR="00B14080" w:rsidRPr="00B06508" w:rsidRDefault="00B14080" w:rsidP="00B14080">
      <w:pPr>
        <w:sectPr w:rsidR="00B14080" w:rsidRPr="00B06508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4FDFAD2B" w14:textId="1AAAECEA" w:rsidR="0099762A" w:rsidRDefault="0099762A" w:rsidP="00B14080">
      <w:r>
        <w:t>James Richardson, JEPB Staff</w:t>
      </w:r>
    </w:p>
    <w:p w14:paraId="4211047F" w14:textId="4FE2EE60" w:rsidR="00B14080" w:rsidRDefault="00B14080" w:rsidP="00B14080">
      <w:r>
        <w:t>Cherry Pollock, OGC</w:t>
      </w:r>
    </w:p>
    <w:p w14:paraId="1C2CAD1E" w14:textId="77777777" w:rsidR="00B14080" w:rsidRDefault="00B14080" w:rsidP="00B14080">
      <w:r>
        <w:t>Mike Williams, EQD</w:t>
      </w:r>
    </w:p>
    <w:p w14:paraId="34AC7965" w14:textId="750D707D" w:rsidR="00B6797B" w:rsidRDefault="00B6797B" w:rsidP="00B14080">
      <w:r>
        <w:t>Terry Carr, EQD</w:t>
      </w:r>
    </w:p>
    <w:p w14:paraId="78FA0B39" w14:textId="77777777" w:rsidR="00B14080" w:rsidRDefault="00B14080" w:rsidP="00B14080">
      <w:pPr>
        <w:sectPr w:rsidR="00B14080" w:rsidSect="00B14080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2B8D73CF" w14:textId="77777777" w:rsidR="00B14080" w:rsidRPr="00B06508" w:rsidRDefault="00B14080" w:rsidP="00B14080"/>
    <w:p w14:paraId="6CA08777" w14:textId="77777777" w:rsidR="00B14080" w:rsidRPr="00B06508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0" w:name="_Hlk66975304"/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VISITOR(s) PRESENT:</w:t>
      </w:r>
    </w:p>
    <w:p w14:paraId="6579D411" w14:textId="77777777" w:rsidR="00B14080" w:rsidRDefault="00B14080" w:rsidP="00B14080">
      <w:pPr>
        <w:sectPr w:rsidR="00B14080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bookmarkEnd w:id="0"/>
    <w:p w14:paraId="2186B356" w14:textId="7BE2E723" w:rsidR="0099762A" w:rsidRDefault="000E7062" w:rsidP="00B14080">
      <w:pPr>
        <w:sectPr w:rsidR="0099762A" w:rsidSect="0099762A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  <w:r>
        <w:t>Leah Rodriguez</w:t>
      </w:r>
    </w:p>
    <w:p w14:paraId="39A29C3F" w14:textId="77777777" w:rsidR="008B5A7B" w:rsidRDefault="008B5A7B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sectPr w:rsidR="008B5A7B" w:rsidSect="00683D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479A9E3E" w14:textId="3D51206E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CALL TO ORDER 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7F582F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TOM DECK</w:t>
      </w:r>
    </w:p>
    <w:p w14:paraId="11B58C9D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INTRODUCTIONS</w:t>
      </w:r>
    </w:p>
    <w:p w14:paraId="7CE01F93" w14:textId="462A6B66" w:rsidR="00B14080" w:rsidRDefault="00CF7003" w:rsidP="00B14080">
      <w:r>
        <w:t>C</w:t>
      </w:r>
      <w:r w:rsidR="00B14080" w:rsidRPr="00B06508">
        <w:t xml:space="preserve">hair </w:t>
      </w:r>
      <w:r w:rsidR="007F582F">
        <w:t xml:space="preserve">Deck </w:t>
      </w:r>
      <w:r w:rsidR="00B14080" w:rsidRPr="00B06508">
        <w:t xml:space="preserve">called to order the </w:t>
      </w:r>
      <w:r w:rsidR="00B14080">
        <w:t xml:space="preserve">monthly </w:t>
      </w:r>
      <w:r w:rsidR="00B14080" w:rsidRPr="00B06508">
        <w:t>meeting of the Jacksonville Environmental Protection Board (JEPB) at 5:0</w:t>
      </w:r>
      <w:r w:rsidR="000E7062">
        <w:t>0</w:t>
      </w:r>
      <w:r w:rsidR="00B14080" w:rsidRPr="00B06508">
        <w:t xml:space="preserve"> pm.  A quorum </w:t>
      </w:r>
      <w:r w:rsidR="00B14080">
        <w:t xml:space="preserve">was </w:t>
      </w:r>
      <w:r w:rsidR="00B14080" w:rsidRPr="00B06508">
        <w:t>established</w:t>
      </w:r>
      <w:r w:rsidR="00B14080">
        <w:t xml:space="preserve">.  </w:t>
      </w:r>
    </w:p>
    <w:p w14:paraId="3D28419D" w14:textId="77777777" w:rsidR="00B14080" w:rsidRDefault="00B14080" w:rsidP="00B14080"/>
    <w:p w14:paraId="4C69FD93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CHAIRMANS REMARKS</w:t>
      </w:r>
    </w:p>
    <w:p w14:paraId="1931CC91" w14:textId="1A283041" w:rsidR="00B14080" w:rsidRDefault="00E0170B" w:rsidP="00B14080">
      <w:r>
        <w:t>The Chair recognized Mr. Richardson.  He reminded members that with a recent reorganization, the Environmental Quality Division was now a part of the Office of Administrative Services.  He then introduced the Director, Richard Reichard, who addressed the group briefly.</w:t>
      </w:r>
    </w:p>
    <w:p w14:paraId="26819A30" w14:textId="77777777" w:rsidR="00B14080" w:rsidRDefault="00B14080" w:rsidP="00B14080"/>
    <w:p w14:paraId="5504F02A" w14:textId="77777777" w:rsidR="00B14080" w:rsidRPr="009F0BBC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1" w:name="_Hlk142294547"/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COMMENTS FROM THE PUBLIC </w:t>
      </w:r>
    </w:p>
    <w:bookmarkEnd w:id="1"/>
    <w:p w14:paraId="26703C2B" w14:textId="7CD1426B" w:rsidR="00F521C2" w:rsidRDefault="000E7062" w:rsidP="00B14080">
      <w:r>
        <w:t xml:space="preserve">Leah Rodriguez, a student from UNF, </w:t>
      </w:r>
      <w:proofErr w:type="gramStart"/>
      <w:r>
        <w:t>concerns</w:t>
      </w:r>
      <w:proofErr w:type="gramEnd"/>
      <w:r>
        <w:t xml:space="preserve"> about the contamination of Jacksonville waterways and possible resolutions.</w:t>
      </w:r>
    </w:p>
    <w:p w14:paraId="3E9371C1" w14:textId="77777777" w:rsidR="00B14080" w:rsidRDefault="00B14080" w:rsidP="00B14080"/>
    <w:p w14:paraId="397FD281" w14:textId="77777777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APPROVAL OF MINUTES</w:t>
      </w:r>
    </w:p>
    <w:p w14:paraId="414DBFFB" w14:textId="3408FB88" w:rsidR="003A4A5A" w:rsidRDefault="000E7062" w:rsidP="00B14080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March 17</w:t>
      </w:r>
      <w:r w:rsidR="006B5D66">
        <w:rPr>
          <w:rFonts w:ascii="Century Gothic" w:hAnsi="Century Gothic"/>
          <w:bCs/>
          <w:sz w:val="22"/>
        </w:rPr>
        <w:t xml:space="preserve">, </w:t>
      </w:r>
      <w:proofErr w:type="gramStart"/>
      <w:r w:rsidR="006B5D66">
        <w:rPr>
          <w:rFonts w:ascii="Century Gothic" w:hAnsi="Century Gothic"/>
          <w:bCs/>
          <w:sz w:val="22"/>
        </w:rPr>
        <w:t>2025</w:t>
      </w:r>
      <w:proofErr w:type="gramEnd"/>
      <w:r w:rsidR="000E7FB5">
        <w:rPr>
          <w:rFonts w:ascii="Century Gothic" w:hAnsi="Century Gothic"/>
          <w:bCs/>
          <w:sz w:val="22"/>
        </w:rPr>
        <w:t xml:space="preserve"> </w:t>
      </w:r>
      <w:r w:rsidR="00B14080" w:rsidRPr="008D3936">
        <w:rPr>
          <w:rFonts w:ascii="Century Gothic" w:hAnsi="Century Gothic"/>
          <w:bCs/>
          <w:sz w:val="22"/>
        </w:rPr>
        <w:t xml:space="preserve">Monthly </w:t>
      </w:r>
      <w:r w:rsidR="000E7FB5">
        <w:rPr>
          <w:rFonts w:ascii="Century Gothic" w:hAnsi="Century Gothic"/>
          <w:bCs/>
          <w:sz w:val="22"/>
        </w:rPr>
        <w:t xml:space="preserve">Board </w:t>
      </w:r>
      <w:r w:rsidR="00B14080" w:rsidRPr="008D3936">
        <w:rPr>
          <w:rFonts w:ascii="Century Gothic" w:hAnsi="Century Gothic"/>
          <w:bCs/>
          <w:sz w:val="22"/>
        </w:rPr>
        <w:t>Meeting</w:t>
      </w:r>
      <w:r w:rsidR="00B14080">
        <w:rPr>
          <w:rFonts w:ascii="Century Gothic" w:hAnsi="Century Gothic"/>
          <w:bCs/>
          <w:sz w:val="22"/>
        </w:rPr>
        <w:t xml:space="preserve"> Summar</w:t>
      </w:r>
      <w:r w:rsidR="009E3054">
        <w:rPr>
          <w:rFonts w:ascii="Century Gothic" w:hAnsi="Century Gothic"/>
          <w:bCs/>
          <w:sz w:val="22"/>
        </w:rPr>
        <w:t>y</w:t>
      </w:r>
    </w:p>
    <w:p w14:paraId="0DCD193A" w14:textId="77777777" w:rsidR="00B14080" w:rsidRDefault="00B14080" w:rsidP="00B14080"/>
    <w:p w14:paraId="104D87A3" w14:textId="7920196E" w:rsidR="00B14080" w:rsidRDefault="00B14080" w:rsidP="00B14080">
      <w:r>
        <w:t xml:space="preserve">A motion was made </w:t>
      </w:r>
      <w:r w:rsidR="00683950">
        <w:t>(</w:t>
      </w:r>
      <w:r w:rsidR="006B5D66">
        <w:t>Hoyles</w:t>
      </w:r>
      <w:r>
        <w:t>) to approve the meeting summar</w:t>
      </w:r>
      <w:r w:rsidR="00307D11">
        <w:t>y</w:t>
      </w:r>
      <w:r>
        <w:t>, properly seconded (</w:t>
      </w:r>
      <w:r w:rsidR="000E7062">
        <w:t>Gellers</w:t>
      </w:r>
      <w:r>
        <w:t>) and approved by the body.</w:t>
      </w:r>
    </w:p>
    <w:p w14:paraId="09592939" w14:textId="77777777" w:rsidR="00B14080" w:rsidRDefault="00B14080" w:rsidP="00B14080"/>
    <w:p w14:paraId="3C8F1B3E" w14:textId="303326A2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CONSENT ORDERS</w:t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6B5D66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JAMES RICHARDSON</w:t>
      </w:r>
    </w:p>
    <w:p w14:paraId="5914E174" w14:textId="77777777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B5CBDBF" w14:textId="77777777" w:rsidR="00307D11" w:rsidRDefault="00307D11" w:rsidP="00307D11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Start w:id="3" w:name="_Hlk152841780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4FE7F724" w14:textId="77777777" w:rsidR="00307D11" w:rsidRDefault="00307D11" w:rsidP="00307D11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3E950C92" w14:textId="77777777" w:rsidR="000E7062" w:rsidRPr="008A3D5D" w:rsidRDefault="000E7062" w:rsidP="000E7062">
      <w:pPr>
        <w:pStyle w:val="ListParagraph"/>
        <w:numPr>
          <w:ilvl w:val="0"/>
          <w:numId w:val="6"/>
        </w:numPr>
        <w:ind w:left="1440"/>
        <w:jc w:val="both"/>
        <w:rPr>
          <w:rFonts w:eastAsia="Times New Roman" w:cs="Arial"/>
          <w:snapToGrid w:val="0"/>
          <w:sz w:val="22"/>
        </w:rPr>
      </w:pPr>
      <w:bookmarkStart w:id="4" w:name="_Hlk195177504"/>
      <w:r w:rsidRPr="008A3D5D">
        <w:rPr>
          <w:rFonts w:eastAsia="Times New Roman" w:cs="Arial"/>
          <w:b/>
          <w:bCs/>
          <w:snapToGrid w:val="0"/>
          <w:sz w:val="22"/>
        </w:rPr>
        <w:t>Montreux at Deerwood Lake Condominium Association, Inc.</w:t>
      </w:r>
      <w:bookmarkEnd w:id="4"/>
      <w:r w:rsidRPr="008A3D5D">
        <w:rPr>
          <w:rFonts w:eastAsia="Times New Roman" w:cs="Arial"/>
          <w:b/>
          <w:bCs/>
          <w:snapToGrid w:val="0"/>
          <w:sz w:val="22"/>
        </w:rPr>
        <w:t xml:space="preserve">, </w:t>
      </w:r>
      <w:r w:rsidRPr="008A3D5D">
        <w:rPr>
          <w:rFonts w:eastAsia="Times New Roman" w:cs="Arial"/>
          <w:i/>
          <w:iCs/>
          <w:snapToGrid w:val="0"/>
          <w:sz w:val="22"/>
        </w:rPr>
        <w:t xml:space="preserve">[NP-247-04] at 8550 Touchton Rd, </w:t>
      </w:r>
      <w:r w:rsidRPr="008A3D5D">
        <w:rPr>
          <w:rFonts w:eastAsia="Arial" w:cs="Arial"/>
          <w:sz w:val="22"/>
        </w:rPr>
        <w:t>Causing, allowing, or permitting emission of sound to Class B receiving land in exceedance of noise limits.</w:t>
      </w:r>
    </w:p>
    <w:p w14:paraId="77101C7F" w14:textId="77777777" w:rsidR="000E7062" w:rsidRDefault="000E7062" w:rsidP="000E7062">
      <w:pPr>
        <w:ind w:left="1440" w:firstLine="60"/>
        <w:rPr>
          <w:sz w:val="22"/>
        </w:rPr>
      </w:pPr>
    </w:p>
    <w:p w14:paraId="40221DB6" w14:textId="77777777" w:rsidR="000E7062" w:rsidRPr="000B5251" w:rsidRDefault="000E7062" w:rsidP="000E7062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0B5251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77DAA668" w14:textId="77777777" w:rsidR="000E7062" w:rsidRPr="000B5251" w:rsidRDefault="000E7062" w:rsidP="000E7062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0B5251">
        <w:rPr>
          <w:rFonts w:eastAsia="Times New Roman"/>
          <w:bCs/>
          <w:snapToGrid w:val="0"/>
          <w:sz w:val="22"/>
        </w:rPr>
        <w:t xml:space="preserve">Repaired the rubber liner on the </w:t>
      </w:r>
      <w:r>
        <w:rPr>
          <w:rFonts w:eastAsia="Times New Roman"/>
          <w:bCs/>
          <w:snapToGrid w:val="0"/>
          <w:sz w:val="22"/>
        </w:rPr>
        <w:t xml:space="preserve">compactor </w:t>
      </w:r>
      <w:r w:rsidRPr="000B5251">
        <w:rPr>
          <w:rFonts w:eastAsia="Times New Roman"/>
          <w:bCs/>
          <w:snapToGrid w:val="0"/>
          <w:sz w:val="22"/>
        </w:rPr>
        <w:t>door</w:t>
      </w:r>
    </w:p>
    <w:p w14:paraId="1A2ED513" w14:textId="77777777" w:rsidR="000E7062" w:rsidRPr="000B5251" w:rsidRDefault="000E7062" w:rsidP="000E7062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11B105F5" w14:textId="77777777" w:rsidR="000E7062" w:rsidRPr="000B5251" w:rsidRDefault="000E7062" w:rsidP="000E7062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0B5251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4F3E497E" w14:textId="77777777" w:rsidR="000E7062" w:rsidRPr="008A3D5D" w:rsidRDefault="000E7062" w:rsidP="000E7062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8A3D5D">
        <w:rPr>
          <w:rFonts w:eastAsia="Times New Roman"/>
          <w:b/>
          <w:bCs/>
          <w:snapToGrid w:val="0"/>
          <w:sz w:val="22"/>
        </w:rPr>
        <w:t>$500.00</w:t>
      </w:r>
    </w:p>
    <w:p w14:paraId="2396372C" w14:textId="77777777" w:rsidR="000E7062" w:rsidRPr="000B5251" w:rsidRDefault="000E7062" w:rsidP="000E7062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54CF6900" w14:textId="77777777" w:rsidR="000E7062" w:rsidRPr="000B5251" w:rsidRDefault="000E7062" w:rsidP="000E7062">
      <w:pPr>
        <w:widowControl w:val="0"/>
        <w:ind w:left="2160"/>
        <w:rPr>
          <w:rFonts w:eastAsia="Times New Roman"/>
          <w:snapToGrid w:val="0"/>
          <w:sz w:val="22"/>
        </w:rPr>
      </w:pPr>
      <w:r w:rsidRPr="000B5251">
        <w:rPr>
          <w:rFonts w:eastAsia="Times New Roman"/>
          <w:snapToGrid w:val="0"/>
          <w:sz w:val="22"/>
          <w:u w:val="single"/>
        </w:rPr>
        <w:t>Consent Order requirements</w:t>
      </w:r>
      <w:r w:rsidRPr="000B5251">
        <w:rPr>
          <w:rFonts w:eastAsia="Times New Roman"/>
          <w:snapToGrid w:val="0"/>
          <w:sz w:val="22"/>
        </w:rPr>
        <w:t>:</w:t>
      </w:r>
    </w:p>
    <w:p w14:paraId="33FC12EC" w14:textId="77777777" w:rsidR="000E7062" w:rsidRPr="000B5251" w:rsidRDefault="000E7062" w:rsidP="000E7062">
      <w:pPr>
        <w:widowControl w:val="0"/>
        <w:ind w:left="2160"/>
        <w:rPr>
          <w:rFonts w:eastAsia="Times New Roman"/>
          <w:snapToGrid w:val="0"/>
          <w:sz w:val="22"/>
        </w:rPr>
      </w:pPr>
      <w:r w:rsidRPr="000B5251">
        <w:rPr>
          <w:rFonts w:eastAsia="Times New Roman"/>
          <w:snapToGrid w:val="0"/>
          <w:sz w:val="22"/>
        </w:rPr>
        <w:t>Penalty only</w:t>
      </w:r>
    </w:p>
    <w:p w14:paraId="686EAD1E" w14:textId="77777777" w:rsidR="000E7062" w:rsidRDefault="000E7062" w:rsidP="000E7062">
      <w:pPr>
        <w:ind w:left="1440" w:firstLine="60"/>
        <w:rPr>
          <w:sz w:val="22"/>
        </w:rPr>
      </w:pPr>
    </w:p>
    <w:p w14:paraId="78F43961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166FC192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3ACC399F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E4DD9BD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4E52FA7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2F104A37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4446F7FA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3E7417A7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7C6C511B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D9A93F7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029756F" w14:textId="77777777" w:rsidR="000E7062" w:rsidRPr="008A3D5D" w:rsidRDefault="000E7062" w:rsidP="000E7062">
      <w:pPr>
        <w:pStyle w:val="ListParagraph"/>
        <w:numPr>
          <w:ilvl w:val="0"/>
          <w:numId w:val="6"/>
        </w:numPr>
        <w:tabs>
          <w:tab w:val="left" w:pos="3645"/>
        </w:tabs>
        <w:ind w:left="144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/>
          <w:bCs/>
          <w:kern w:val="2"/>
          <w:sz w:val="22"/>
          <w14:ligatures w14:val="standardContextual"/>
        </w:rPr>
        <w:t xml:space="preserve">Oldcastle APG South, Inc., </w:t>
      </w:r>
      <w:r w:rsidRPr="008A3D5D">
        <w:rPr>
          <w:rFonts w:eastAsia="Calibri" w:cs="Arial"/>
          <w:bCs/>
          <w:i/>
          <w:iCs/>
          <w:kern w:val="2"/>
          <w:sz w:val="22"/>
          <w14:ligatures w14:val="standardContextual"/>
        </w:rPr>
        <w:t xml:space="preserve">[NP-25-02] at 6659 Highway Avenue, </w:t>
      </w:r>
      <w:r w:rsidRPr="008A3D5D">
        <w:rPr>
          <w:rFonts w:eastAsia="Calibri" w:cs="Arial"/>
          <w:bCs/>
          <w:kern w:val="2"/>
          <w:sz w:val="22"/>
          <w14:ligatures w14:val="standardContextual"/>
        </w:rPr>
        <w:t>Causing, allowing, or permitting emission of sound to Class B receiving land in exceedance of noise limits.</w:t>
      </w:r>
    </w:p>
    <w:p w14:paraId="618B0375" w14:textId="77777777" w:rsidR="000E7062" w:rsidRDefault="000E7062" w:rsidP="000E7062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2D107B11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:u w:val="single"/>
          <w14:ligatures w14:val="standardContextual"/>
        </w:rPr>
        <w:t>Corrective Actions:</w:t>
      </w:r>
    </w:p>
    <w:p w14:paraId="6C4E13AA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14:ligatures w14:val="standardContextual"/>
        </w:rPr>
        <w:t xml:space="preserve">Replace Interior Dust Collector Bag House motor and exhaust  </w:t>
      </w:r>
    </w:p>
    <w:p w14:paraId="0A554E75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:u w:val="single"/>
          <w14:ligatures w14:val="standardContextual"/>
        </w:rPr>
      </w:pPr>
    </w:p>
    <w:p w14:paraId="05AF8EFD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:u w:val="single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:u w:val="single"/>
          <w14:ligatures w14:val="standardContextual"/>
        </w:rPr>
        <w:t xml:space="preserve">Consent Order settlement fee: </w:t>
      </w:r>
    </w:p>
    <w:p w14:paraId="3B0D2107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/>
          <w:kern w:val="2"/>
          <w:sz w:val="22"/>
          <w14:ligatures w14:val="standardContextual"/>
        </w:rPr>
      </w:pPr>
      <w:r w:rsidRPr="008A3D5D">
        <w:rPr>
          <w:rFonts w:eastAsia="Calibri" w:cs="Arial"/>
          <w:b/>
          <w:kern w:val="2"/>
          <w:sz w:val="22"/>
          <w14:ligatures w14:val="standardContextual"/>
        </w:rPr>
        <w:t xml:space="preserve">$500.00 </w:t>
      </w:r>
    </w:p>
    <w:p w14:paraId="01B8EE53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</w:p>
    <w:p w14:paraId="2E9BA565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:u w:val="single"/>
          <w14:ligatures w14:val="standardContextual"/>
        </w:rPr>
        <w:t>Consent Order requirements</w:t>
      </w:r>
      <w:r w:rsidRPr="008A3D5D">
        <w:rPr>
          <w:rFonts w:eastAsia="Calibri" w:cs="Arial"/>
          <w:bCs/>
          <w:kern w:val="2"/>
          <w:sz w:val="22"/>
          <w14:ligatures w14:val="standardContextual"/>
        </w:rPr>
        <w:t>:</w:t>
      </w:r>
    </w:p>
    <w:p w14:paraId="2424D2DC" w14:textId="77777777" w:rsidR="000E7062" w:rsidRPr="008A3D5D" w:rsidRDefault="000E7062" w:rsidP="000E7062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14:ligatures w14:val="standardContextual"/>
        </w:rPr>
        <w:t>Penalty only</w:t>
      </w:r>
    </w:p>
    <w:p w14:paraId="56721197" w14:textId="77777777" w:rsidR="000E7062" w:rsidRDefault="000E7062" w:rsidP="006B5D66">
      <w:pPr>
        <w:ind w:left="720"/>
        <w:rPr>
          <w:szCs w:val="24"/>
        </w:rPr>
      </w:pPr>
    </w:p>
    <w:p w14:paraId="13FC827D" w14:textId="19E215CA" w:rsidR="006B5D66" w:rsidRPr="00307D11" w:rsidRDefault="006B5D66" w:rsidP="006B5D66">
      <w:pPr>
        <w:ind w:left="720"/>
        <w:rPr>
          <w:szCs w:val="24"/>
        </w:rPr>
      </w:pPr>
      <w:r w:rsidRPr="00CF7003">
        <w:rPr>
          <w:szCs w:val="24"/>
        </w:rPr>
        <w:t>A motion to approve the consent order</w:t>
      </w:r>
      <w:r w:rsidR="000E7062">
        <w:rPr>
          <w:szCs w:val="24"/>
        </w:rPr>
        <w:t>s</w:t>
      </w:r>
      <w:r w:rsidRPr="00CF7003">
        <w:rPr>
          <w:szCs w:val="24"/>
        </w:rPr>
        <w:t xml:space="preserve"> as presented was made (</w:t>
      </w:r>
      <w:r w:rsidR="000E7062">
        <w:rPr>
          <w:szCs w:val="24"/>
        </w:rPr>
        <w:t>Noble</w:t>
      </w:r>
      <w:r w:rsidRPr="00CF7003">
        <w:rPr>
          <w:szCs w:val="24"/>
        </w:rPr>
        <w:t>), properly seconded (</w:t>
      </w:r>
      <w:r>
        <w:rPr>
          <w:szCs w:val="24"/>
        </w:rPr>
        <w:t>Hoyles</w:t>
      </w:r>
      <w:r w:rsidRPr="00CF7003">
        <w:rPr>
          <w:szCs w:val="24"/>
        </w:rPr>
        <w:t>) and approved by the body.</w:t>
      </w:r>
    </w:p>
    <w:p w14:paraId="07428BDB" w14:textId="77777777" w:rsidR="00307D11" w:rsidRDefault="00307D11" w:rsidP="00307D11">
      <w:pPr>
        <w:ind w:left="1440" w:firstLine="60"/>
        <w:rPr>
          <w:sz w:val="22"/>
        </w:rPr>
      </w:pPr>
    </w:p>
    <w:p w14:paraId="33623544" w14:textId="77777777" w:rsidR="006B5D66" w:rsidRDefault="006B5D66" w:rsidP="00307D11">
      <w:pPr>
        <w:ind w:left="720"/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</w:pPr>
    </w:p>
    <w:p w14:paraId="2684E900" w14:textId="621AA614" w:rsidR="00307D11" w:rsidRPr="006E22D5" w:rsidRDefault="00307D11" w:rsidP="00307D11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53EB5D1F" w14:textId="77777777" w:rsidR="00307D11" w:rsidRPr="006E22D5" w:rsidRDefault="00307D11" w:rsidP="00307D11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5ACDCFE8" w14:textId="77777777" w:rsidR="000E7062" w:rsidRPr="008A3D5D" w:rsidRDefault="000E7062" w:rsidP="000E7062">
      <w:pPr>
        <w:pStyle w:val="ListParagraph"/>
        <w:numPr>
          <w:ilvl w:val="1"/>
          <w:numId w:val="6"/>
        </w:numPr>
        <w:jc w:val="both"/>
        <w:rPr>
          <w:rFonts w:eastAsia="Arial" w:cs="Arial"/>
          <w:sz w:val="22"/>
        </w:rPr>
      </w:pPr>
      <w:bookmarkStart w:id="5" w:name="_Hlk192798654"/>
      <w:bookmarkEnd w:id="2"/>
      <w:r w:rsidRPr="008A3D5D">
        <w:rPr>
          <w:rFonts w:eastAsia="Times New Roman" w:cs="Arial"/>
          <w:b/>
          <w:bCs/>
          <w:snapToGrid w:val="0"/>
          <w:sz w:val="22"/>
        </w:rPr>
        <w:t xml:space="preserve">Vivere POE LLC, Prospect Real Estate Group LLC, BCC Construction Group, Inc., </w:t>
      </w:r>
      <w:r w:rsidRPr="008A3D5D">
        <w:rPr>
          <w:rFonts w:eastAsia="Calibri" w:cs="Arial"/>
          <w:i/>
          <w:iCs/>
          <w:kern w:val="2"/>
          <w:sz w:val="22"/>
          <w14:ligatures w14:val="standardContextual"/>
        </w:rPr>
        <w:t xml:space="preserve">[ESC-24-22] at 660 Starratt Road, </w:t>
      </w:r>
      <w:r w:rsidRPr="008A3D5D">
        <w:rPr>
          <w:rFonts w:eastAsia="Arial" w:cs="Arial"/>
          <w:sz w:val="22"/>
        </w:rPr>
        <w:t>Discharge of non-stormwater to City municipal separate storm sewer system (“MS4”); Failure to comply with erosion and sediment control requirements.</w:t>
      </w:r>
    </w:p>
    <w:p w14:paraId="24ADEAE6" w14:textId="77777777" w:rsidR="000E7062" w:rsidRPr="00600EC3" w:rsidRDefault="000E7062" w:rsidP="000E7062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3F193772" w14:textId="77777777" w:rsidR="000E7062" w:rsidRPr="00C525D4" w:rsidRDefault="000E7062" w:rsidP="000E7062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C525D4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4570EB9A" w14:textId="77777777" w:rsidR="000E7062" w:rsidRPr="00C525D4" w:rsidRDefault="000E7062" w:rsidP="000E7062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C525D4">
        <w:rPr>
          <w:rFonts w:eastAsia="Times New Roman"/>
          <w:bCs/>
          <w:snapToGrid w:val="0"/>
          <w:sz w:val="22"/>
        </w:rPr>
        <w:t>They improved BMPs</w:t>
      </w:r>
    </w:p>
    <w:p w14:paraId="180B4EF6" w14:textId="77777777" w:rsidR="000E7062" w:rsidRPr="00C525D4" w:rsidRDefault="000E7062" w:rsidP="000E7062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04E0E8F2" w14:textId="77777777" w:rsidR="000E7062" w:rsidRPr="00C525D4" w:rsidRDefault="000E7062" w:rsidP="000E7062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C525D4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43553A85" w14:textId="77777777" w:rsidR="000E7062" w:rsidRPr="008A3D5D" w:rsidRDefault="000E7062" w:rsidP="000E7062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8A3D5D">
        <w:rPr>
          <w:rFonts w:eastAsia="Times New Roman"/>
          <w:b/>
          <w:bCs/>
          <w:snapToGrid w:val="0"/>
          <w:sz w:val="22"/>
        </w:rPr>
        <w:t>$3,500.00</w:t>
      </w:r>
    </w:p>
    <w:p w14:paraId="37B2D968" w14:textId="77777777" w:rsidR="000E7062" w:rsidRPr="00C525D4" w:rsidRDefault="000E7062" w:rsidP="000E7062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634B437F" w14:textId="77777777" w:rsidR="000E7062" w:rsidRPr="00C525D4" w:rsidRDefault="000E7062" w:rsidP="000E7062">
      <w:pPr>
        <w:widowControl w:val="0"/>
        <w:ind w:left="2160"/>
        <w:rPr>
          <w:rFonts w:eastAsia="Times New Roman"/>
          <w:snapToGrid w:val="0"/>
          <w:sz w:val="22"/>
        </w:rPr>
      </w:pPr>
      <w:r w:rsidRPr="00C525D4">
        <w:rPr>
          <w:rFonts w:eastAsia="Times New Roman"/>
          <w:snapToGrid w:val="0"/>
          <w:sz w:val="22"/>
          <w:u w:val="single"/>
        </w:rPr>
        <w:t>Consent Order requirements</w:t>
      </w:r>
      <w:r w:rsidRPr="00C525D4">
        <w:rPr>
          <w:rFonts w:eastAsia="Times New Roman"/>
          <w:snapToGrid w:val="0"/>
          <w:sz w:val="22"/>
        </w:rPr>
        <w:t>:</w:t>
      </w:r>
    </w:p>
    <w:p w14:paraId="59693B5F" w14:textId="77777777" w:rsidR="000E7062" w:rsidRPr="00C525D4" w:rsidRDefault="000E7062" w:rsidP="000E7062">
      <w:pPr>
        <w:widowControl w:val="0"/>
        <w:ind w:left="2160"/>
        <w:rPr>
          <w:rFonts w:eastAsia="Times New Roman"/>
          <w:snapToGrid w:val="0"/>
          <w:sz w:val="22"/>
        </w:rPr>
      </w:pPr>
      <w:r w:rsidRPr="00C525D4">
        <w:rPr>
          <w:rFonts w:eastAsia="Times New Roman"/>
          <w:snapToGrid w:val="0"/>
          <w:sz w:val="22"/>
        </w:rPr>
        <w:t>Penalty only</w:t>
      </w:r>
    </w:p>
    <w:p w14:paraId="35179C5B" w14:textId="77777777" w:rsidR="000E7062" w:rsidRPr="00600EC3" w:rsidRDefault="000E7062" w:rsidP="000E7062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65D617AA" w14:textId="77777777" w:rsidR="000E7062" w:rsidRPr="00600EC3" w:rsidRDefault="000E7062" w:rsidP="000E7062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6156AEF8" w14:textId="77777777" w:rsidR="000E7062" w:rsidRPr="008A3D5D" w:rsidRDefault="000E7062" w:rsidP="000E7062">
      <w:pPr>
        <w:pStyle w:val="ListParagraph"/>
        <w:numPr>
          <w:ilvl w:val="1"/>
          <w:numId w:val="6"/>
        </w:numPr>
        <w:jc w:val="both"/>
        <w:rPr>
          <w:rFonts w:eastAsia="Arial" w:cs="Arial"/>
          <w:sz w:val="22"/>
        </w:rPr>
      </w:pPr>
      <w:r w:rsidRPr="008A3D5D">
        <w:rPr>
          <w:rFonts w:eastAsia="Times New Roman" w:cs="Arial"/>
          <w:b/>
          <w:bCs/>
          <w:snapToGrid w:val="0"/>
          <w:sz w:val="22"/>
          <w:szCs w:val="20"/>
        </w:rPr>
        <w:t xml:space="preserve">Meritage Homes of Florida, Inc., K T Carter Contracting, Inc., </w:t>
      </w:r>
      <w:r w:rsidRPr="008A3D5D">
        <w:rPr>
          <w:rFonts w:eastAsia="Times New Roman" w:cs="Arial"/>
          <w:i/>
          <w:iCs/>
          <w:snapToGrid w:val="0"/>
          <w:sz w:val="22"/>
          <w:szCs w:val="20"/>
        </w:rPr>
        <w:t xml:space="preserve">[ESC-25-01] at 3025 Percy Rd., </w:t>
      </w:r>
      <w:r w:rsidRPr="008A3D5D">
        <w:rPr>
          <w:rFonts w:eastAsia="Arial" w:cs="Arial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5583549B" w14:textId="77777777" w:rsidR="000E7062" w:rsidRPr="00600EC3" w:rsidRDefault="000E7062" w:rsidP="000E7062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2A51A975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8A3D5D">
        <w:rPr>
          <w:rFonts w:eastAsia="Times New Roman" w:cs="Arial"/>
          <w:bCs/>
          <w:snapToGrid w:val="0"/>
          <w:sz w:val="22"/>
          <w:u w:val="single"/>
        </w:rPr>
        <w:t>Corrective Actions:</w:t>
      </w:r>
    </w:p>
    <w:p w14:paraId="19DEBD9B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8A3D5D">
        <w:rPr>
          <w:rFonts w:eastAsia="Times New Roman" w:cs="Arial"/>
          <w:bCs/>
          <w:snapToGrid w:val="0"/>
          <w:sz w:val="22"/>
        </w:rPr>
        <w:t xml:space="preserve">Repaired, and updated the BMPs based on the revised SWPPP </w:t>
      </w:r>
    </w:p>
    <w:p w14:paraId="111C9D75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bCs/>
          <w:snapToGrid w:val="0"/>
          <w:sz w:val="22"/>
          <w:u w:val="single"/>
        </w:rPr>
      </w:pPr>
    </w:p>
    <w:p w14:paraId="11D1432F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snapToGrid w:val="0"/>
          <w:sz w:val="22"/>
          <w:u w:val="single"/>
        </w:rPr>
      </w:pPr>
      <w:r w:rsidRPr="008A3D5D">
        <w:rPr>
          <w:rFonts w:eastAsia="Times New Roman" w:cs="Arial"/>
          <w:snapToGrid w:val="0"/>
          <w:sz w:val="22"/>
          <w:u w:val="single"/>
        </w:rPr>
        <w:t xml:space="preserve">Consent Order settlement fee: </w:t>
      </w:r>
    </w:p>
    <w:p w14:paraId="240B25F6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b/>
          <w:bCs/>
          <w:snapToGrid w:val="0"/>
          <w:sz w:val="22"/>
        </w:rPr>
      </w:pPr>
      <w:r w:rsidRPr="008A3D5D">
        <w:rPr>
          <w:rFonts w:eastAsia="Times New Roman" w:cs="Arial"/>
          <w:b/>
          <w:bCs/>
          <w:snapToGrid w:val="0"/>
          <w:sz w:val="22"/>
        </w:rPr>
        <w:t xml:space="preserve">$3,500.00 </w:t>
      </w:r>
    </w:p>
    <w:p w14:paraId="5ABC1792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snapToGrid w:val="0"/>
          <w:sz w:val="22"/>
        </w:rPr>
      </w:pPr>
    </w:p>
    <w:p w14:paraId="7CE127A2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8A3D5D">
        <w:rPr>
          <w:rFonts w:eastAsia="Times New Roman" w:cs="Arial"/>
          <w:snapToGrid w:val="0"/>
          <w:sz w:val="22"/>
          <w:u w:val="single"/>
        </w:rPr>
        <w:t>Consent Order requirements</w:t>
      </w:r>
      <w:r w:rsidRPr="008A3D5D">
        <w:rPr>
          <w:rFonts w:eastAsia="Times New Roman" w:cs="Arial"/>
          <w:snapToGrid w:val="0"/>
          <w:sz w:val="22"/>
        </w:rPr>
        <w:t>:</w:t>
      </w:r>
    </w:p>
    <w:p w14:paraId="64BA6BC2" w14:textId="77777777" w:rsidR="000E7062" w:rsidRPr="008A3D5D" w:rsidRDefault="000E7062" w:rsidP="000E7062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8A3D5D">
        <w:rPr>
          <w:rFonts w:eastAsia="Times New Roman" w:cs="Arial"/>
          <w:snapToGrid w:val="0"/>
          <w:sz w:val="22"/>
        </w:rPr>
        <w:t xml:space="preserve">Penalty only </w:t>
      </w:r>
    </w:p>
    <w:p w14:paraId="1F99344B" w14:textId="77777777" w:rsidR="006B5D66" w:rsidRPr="00600EC3" w:rsidRDefault="006B5D66" w:rsidP="006B5D66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>Penalty only</w:t>
      </w:r>
    </w:p>
    <w:p w14:paraId="5377D938" w14:textId="77777777" w:rsidR="006B5D66" w:rsidRPr="00600EC3" w:rsidRDefault="006B5D66" w:rsidP="006B5D66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37D51E20" w14:textId="77777777" w:rsidR="006B5D66" w:rsidRPr="00600EC3" w:rsidRDefault="006B5D66" w:rsidP="006B5D66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2A5CDB90" w14:textId="353280BB" w:rsidR="00CF7003" w:rsidRDefault="00CF7003" w:rsidP="000E7062">
      <w:pPr>
        <w:rPr>
          <w:szCs w:val="24"/>
        </w:rPr>
      </w:pPr>
      <w:r w:rsidRPr="00CF7003">
        <w:rPr>
          <w:szCs w:val="24"/>
        </w:rPr>
        <w:t>A motion to approve the consent orders as presented was made (</w:t>
      </w:r>
      <w:r w:rsidR="006B5D66">
        <w:rPr>
          <w:szCs w:val="24"/>
        </w:rPr>
        <w:t>Hoyles</w:t>
      </w:r>
      <w:r w:rsidRPr="00CF7003">
        <w:rPr>
          <w:szCs w:val="24"/>
        </w:rPr>
        <w:t>), properly seconded (</w:t>
      </w:r>
      <w:r w:rsidR="006B5D66">
        <w:rPr>
          <w:szCs w:val="24"/>
        </w:rPr>
        <w:t>Simon</w:t>
      </w:r>
      <w:r w:rsidRPr="00CF7003">
        <w:rPr>
          <w:szCs w:val="24"/>
        </w:rPr>
        <w:t>) and approved by the body.</w:t>
      </w:r>
    </w:p>
    <w:p w14:paraId="64553A80" w14:textId="77777777" w:rsidR="000E7062" w:rsidRPr="00CF7003" w:rsidRDefault="000E7062" w:rsidP="000E7062">
      <w:pPr>
        <w:rPr>
          <w:szCs w:val="24"/>
        </w:rPr>
      </w:pPr>
    </w:p>
    <w:bookmarkEnd w:id="5"/>
    <w:p w14:paraId="6EABBC9F" w14:textId="77777777" w:rsidR="00CF7003" w:rsidRDefault="00CF7003" w:rsidP="009E3054">
      <w:pPr>
        <w:ind w:left="2160"/>
        <w:rPr>
          <w:sz w:val="18"/>
          <w:szCs w:val="18"/>
        </w:rPr>
      </w:pPr>
    </w:p>
    <w:bookmarkEnd w:id="3"/>
    <w:p w14:paraId="7DFB4EF4" w14:textId="747ACF0A" w:rsidR="00B14080" w:rsidRPr="009F0BBC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lastRenderedPageBreak/>
        <w:t>E</w:t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NFORCEMENT REPORT </w:t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062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MELISSA LONG</w:t>
      </w:r>
    </w:p>
    <w:p w14:paraId="2D10E366" w14:textId="16E4B998" w:rsidR="00B14080" w:rsidRDefault="00B14080" w:rsidP="00B14080">
      <w:pPr>
        <w:keepNext/>
        <w:keepLines/>
        <w:spacing w:before="40"/>
        <w:outlineLvl w:val="1"/>
        <w:rPr>
          <w:rFonts w:eastAsiaTheme="majorEastAsia" w:cs="Arial"/>
          <w:szCs w:val="24"/>
        </w:rPr>
      </w:pPr>
      <w:r>
        <w:rPr>
          <w:rFonts w:eastAsiaTheme="majorEastAsia" w:cs="Arial"/>
          <w:szCs w:val="24"/>
        </w:rPr>
        <w:t>There were no questions or concerns.</w:t>
      </w:r>
    </w:p>
    <w:p w14:paraId="7BF08429" w14:textId="77777777" w:rsidR="00B14080" w:rsidRDefault="00B14080" w:rsidP="00B14080">
      <w:pPr>
        <w:keepNext/>
        <w:keepLines/>
        <w:spacing w:before="40"/>
        <w:outlineLvl w:val="1"/>
        <w:rPr>
          <w:rFonts w:eastAsiaTheme="majorEastAsia" w:cs="Arial"/>
          <w:szCs w:val="24"/>
        </w:rPr>
      </w:pPr>
    </w:p>
    <w:p w14:paraId="550B1D5E" w14:textId="77777777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6" w:name="_Hlk179811044"/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NEW BUSINESS</w:t>
      </w:r>
    </w:p>
    <w:p w14:paraId="2EB3E8A6" w14:textId="38CAE63B" w:rsidR="002015C4" w:rsidRDefault="000E7062" w:rsidP="002015C4">
      <w:pPr>
        <w:keepNext/>
        <w:keepLines/>
        <w:numPr>
          <w:ilvl w:val="1"/>
          <w:numId w:val="5"/>
        </w:numPr>
        <w:ind w:left="720"/>
        <w:outlineLvl w:val="0"/>
        <w:rPr>
          <w:rFonts w:eastAsiaTheme="majorEastAsia" w:cs="Arial"/>
          <w:sz w:val="22"/>
        </w:rPr>
      </w:pPr>
      <w:bookmarkStart w:id="7" w:name="_Hlk197422338"/>
      <w:bookmarkEnd w:id="6"/>
      <w:r>
        <w:rPr>
          <w:rFonts w:eastAsiaTheme="majorEastAsia" w:cs="Arial"/>
          <w:sz w:val="22"/>
        </w:rPr>
        <w:t>None</w:t>
      </w:r>
    </w:p>
    <w:bookmarkEnd w:id="7"/>
    <w:p w14:paraId="411F4CF3" w14:textId="77777777" w:rsidR="002015C4" w:rsidRDefault="002015C4" w:rsidP="002015C4">
      <w:pPr>
        <w:keepNext/>
        <w:keepLines/>
        <w:outlineLvl w:val="0"/>
        <w:rPr>
          <w:rFonts w:eastAsiaTheme="majorEastAsia" w:cs="Arial"/>
          <w:sz w:val="22"/>
        </w:rPr>
      </w:pPr>
    </w:p>
    <w:p w14:paraId="50F0C856" w14:textId="77777777" w:rsidR="004670D2" w:rsidRDefault="004670D2" w:rsidP="004670D2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OLD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BUSINESS</w:t>
      </w:r>
    </w:p>
    <w:p w14:paraId="79DBA6EF" w14:textId="77777777" w:rsidR="000E7062" w:rsidRDefault="000E7062" w:rsidP="000E7062">
      <w:pPr>
        <w:keepNext/>
        <w:keepLines/>
        <w:numPr>
          <w:ilvl w:val="1"/>
          <w:numId w:val="5"/>
        </w:numPr>
        <w:ind w:left="720"/>
        <w:outlineLvl w:val="0"/>
        <w:rPr>
          <w:rFonts w:eastAsiaTheme="majorEastAsia" w:cs="Arial"/>
          <w:sz w:val="22"/>
        </w:rPr>
      </w:pPr>
      <w:bookmarkStart w:id="8" w:name="_Hlk197422382"/>
      <w:r>
        <w:rPr>
          <w:rFonts w:eastAsiaTheme="majorEastAsia" w:cs="Arial"/>
          <w:sz w:val="22"/>
        </w:rPr>
        <w:t>None</w:t>
      </w:r>
    </w:p>
    <w:bookmarkEnd w:id="8"/>
    <w:p w14:paraId="0A75D1BE" w14:textId="77777777" w:rsidR="004670D2" w:rsidRDefault="004670D2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64CADF32" w14:textId="4F299CEB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PRESENTATION(s)</w:t>
      </w:r>
      <w:bookmarkStart w:id="9" w:name="_Hlk92377225"/>
    </w:p>
    <w:bookmarkEnd w:id="9"/>
    <w:p w14:paraId="509D7A0E" w14:textId="77777777" w:rsidR="000E7062" w:rsidRDefault="000E7062" w:rsidP="000E7062">
      <w:pPr>
        <w:pStyle w:val="ListParagraph"/>
        <w:keepNext/>
        <w:keepLines/>
        <w:numPr>
          <w:ilvl w:val="0"/>
          <w:numId w:val="6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Groundwork Jacksonville – Update on McCoys Creek Branches Water Quality – May meeting</w:t>
      </w:r>
    </w:p>
    <w:p w14:paraId="44604DD7" w14:textId="77777777" w:rsidR="000E7062" w:rsidRDefault="000E7062" w:rsidP="000E7062">
      <w:pPr>
        <w:pStyle w:val="ListParagraph"/>
        <w:keepNext/>
        <w:keepLines/>
        <w:numPr>
          <w:ilvl w:val="0"/>
          <w:numId w:val="6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JEA Project Updates and Readiness – June Meeting</w:t>
      </w:r>
    </w:p>
    <w:p w14:paraId="12A5BAA3" w14:textId="77777777" w:rsidR="00A02D41" w:rsidRDefault="00A02D41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5F5AC4A1" w14:textId="5AEB5EEE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PUBLIC HEARING(s)</w:t>
      </w:r>
    </w:p>
    <w:p w14:paraId="392D1A3F" w14:textId="77777777" w:rsidR="000E7062" w:rsidRDefault="000E7062" w:rsidP="000E7062">
      <w:pPr>
        <w:keepNext/>
        <w:keepLines/>
        <w:numPr>
          <w:ilvl w:val="1"/>
          <w:numId w:val="5"/>
        </w:numPr>
        <w:ind w:left="720"/>
        <w:outlineLvl w:val="0"/>
        <w:rPr>
          <w:rFonts w:eastAsiaTheme="majorEastAsia" w:cs="Arial"/>
          <w:sz w:val="22"/>
        </w:rPr>
      </w:pPr>
      <w:r>
        <w:rPr>
          <w:rFonts w:eastAsiaTheme="majorEastAsia" w:cs="Arial"/>
          <w:sz w:val="22"/>
        </w:rPr>
        <w:t>None</w:t>
      </w:r>
    </w:p>
    <w:p w14:paraId="1273B47E" w14:textId="77777777" w:rsidR="00B14080" w:rsidRPr="00937E1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sz w:val="26"/>
          <w:szCs w:val="26"/>
        </w:rPr>
      </w:pPr>
    </w:p>
    <w:p w14:paraId="16D30607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70526F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COMMISSION &amp; JEPB COMMITTEE UPDATES</w:t>
      </w:r>
    </w:p>
    <w:p w14:paraId="389B02A0" w14:textId="0B226AE7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Waterways Commission</w:t>
      </w:r>
      <w:r w:rsidRPr="00B06508">
        <w:rPr>
          <w:sz w:val="22"/>
        </w:rPr>
        <w:t xml:space="preserve"> – </w:t>
      </w:r>
      <w:r w:rsidR="00A02D41">
        <w:rPr>
          <w:sz w:val="22"/>
        </w:rPr>
        <w:t xml:space="preserve">Mr. Hoyles shared that </w:t>
      </w:r>
      <w:r w:rsidR="001623E4">
        <w:rPr>
          <w:sz w:val="22"/>
        </w:rPr>
        <w:t>there were no updates.</w:t>
      </w:r>
    </w:p>
    <w:p w14:paraId="2DC083ED" w14:textId="2E5E1010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KJB Commission</w:t>
      </w:r>
      <w:r w:rsidRPr="00B06508">
        <w:rPr>
          <w:sz w:val="22"/>
        </w:rPr>
        <w:t xml:space="preserve"> – </w:t>
      </w:r>
      <w:r w:rsidR="004670D2">
        <w:rPr>
          <w:sz w:val="22"/>
        </w:rPr>
        <w:t>no report</w:t>
      </w:r>
    </w:p>
    <w:p w14:paraId="4D91DFBB" w14:textId="088A5802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JEPB Water Committee</w:t>
      </w:r>
      <w:r w:rsidRPr="00B06508">
        <w:rPr>
          <w:sz w:val="22"/>
        </w:rPr>
        <w:t xml:space="preserve"> –</w:t>
      </w:r>
      <w:r>
        <w:rPr>
          <w:sz w:val="22"/>
        </w:rPr>
        <w:t xml:space="preserve"> </w:t>
      </w:r>
      <w:r w:rsidR="004B47F0">
        <w:rPr>
          <w:sz w:val="22"/>
        </w:rPr>
        <w:t>Terry Carr</w:t>
      </w:r>
      <w:r>
        <w:rPr>
          <w:sz w:val="22"/>
        </w:rPr>
        <w:t xml:space="preserve"> discussed information from the Water Branch report and responded to member questions.  </w:t>
      </w:r>
    </w:p>
    <w:p w14:paraId="7040F175" w14:textId="559F7B37" w:rsidR="00B14080" w:rsidRPr="002E78B8" w:rsidRDefault="00B14080" w:rsidP="00B14080">
      <w:pPr>
        <w:numPr>
          <w:ilvl w:val="0"/>
          <w:numId w:val="3"/>
        </w:numPr>
        <w:ind w:left="720" w:hanging="360"/>
        <w:contextualSpacing/>
      </w:pPr>
      <w:r w:rsidRPr="006D2247">
        <w:rPr>
          <w:b/>
          <w:bCs/>
          <w:sz w:val="22"/>
        </w:rPr>
        <w:t>JEPB Air Committee</w:t>
      </w:r>
      <w:r w:rsidRPr="006D2247">
        <w:rPr>
          <w:sz w:val="22"/>
        </w:rPr>
        <w:t xml:space="preserve"> – </w:t>
      </w:r>
      <w:r w:rsidR="004B47F0">
        <w:rPr>
          <w:sz w:val="22"/>
        </w:rPr>
        <w:t>Mike Williams</w:t>
      </w:r>
      <w:r>
        <w:rPr>
          <w:sz w:val="22"/>
        </w:rPr>
        <w:t xml:space="preserve"> discussed information from the Air Branch report and responded to member questions.</w:t>
      </w:r>
    </w:p>
    <w:p w14:paraId="010D503F" w14:textId="77777777" w:rsidR="002E78B8" w:rsidRDefault="002E78B8" w:rsidP="002E78B8">
      <w:pPr>
        <w:ind w:left="720"/>
        <w:contextualSpacing/>
        <w:rPr>
          <w:b/>
          <w:bCs/>
          <w:sz w:val="22"/>
        </w:rPr>
      </w:pPr>
    </w:p>
    <w:p w14:paraId="067BFE42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lastRenderedPageBreak/>
        <w:t xml:space="preserve">EPB ADMINISTRATOR REPORT </w:t>
      </w:r>
    </w:p>
    <w:p w14:paraId="5DD5DB0E" w14:textId="6AB9ED20" w:rsidR="00B14080" w:rsidRDefault="001F6819" w:rsidP="00A76381">
      <w:pPr>
        <w:rPr>
          <w:szCs w:val="24"/>
        </w:rPr>
      </w:pPr>
      <w:r>
        <w:rPr>
          <w:szCs w:val="24"/>
        </w:rPr>
        <w:t xml:space="preserve">Mr. Richardson </w:t>
      </w:r>
      <w:r w:rsidR="001623E4">
        <w:rPr>
          <w:szCs w:val="24"/>
        </w:rPr>
        <w:t xml:space="preserve">shared that elections would be taking place at the September meeting and now was the time to begin thinking about leadership.  Positions of Chair and Vice-Chair will be </w:t>
      </w:r>
      <w:r w:rsidR="00E0170B">
        <w:rPr>
          <w:szCs w:val="24"/>
        </w:rPr>
        <w:t xml:space="preserve">voted on.  He will share more information as </w:t>
      </w:r>
      <w:proofErr w:type="gramStart"/>
      <w:r w:rsidR="00E0170B">
        <w:rPr>
          <w:szCs w:val="24"/>
        </w:rPr>
        <w:t>the time</w:t>
      </w:r>
      <w:proofErr w:type="gramEnd"/>
      <w:r w:rsidR="00E0170B">
        <w:rPr>
          <w:szCs w:val="24"/>
        </w:rPr>
        <w:t xml:space="preserve"> approaches.  He thanked those who participated in the meeting with the international delegation from Kazakhstan.  He asked for members to share any </w:t>
      </w:r>
      <w:proofErr w:type="gramStart"/>
      <w:r w:rsidR="00E0170B">
        <w:rPr>
          <w:szCs w:val="24"/>
        </w:rPr>
        <w:t>particular issues</w:t>
      </w:r>
      <w:proofErr w:type="gramEnd"/>
      <w:r w:rsidR="00E0170B">
        <w:rPr>
          <w:szCs w:val="24"/>
        </w:rPr>
        <w:t xml:space="preserve"> or entities that they might want to have present information at upcoming meetings.</w:t>
      </w:r>
    </w:p>
    <w:p w14:paraId="76241CEB" w14:textId="77777777" w:rsidR="00E0170B" w:rsidRDefault="00E0170B" w:rsidP="00A76381">
      <w:pPr>
        <w:rPr>
          <w:szCs w:val="24"/>
        </w:rPr>
      </w:pPr>
    </w:p>
    <w:p w14:paraId="73A00718" w14:textId="3864F5FC" w:rsidR="00E0170B" w:rsidRPr="00A76381" w:rsidRDefault="00E0170B" w:rsidP="00A76381">
      <w:pPr>
        <w:rPr>
          <w:szCs w:val="24"/>
        </w:rPr>
      </w:pPr>
      <w:r>
        <w:rPr>
          <w:szCs w:val="24"/>
        </w:rPr>
        <w:t>Member Gellers shared information about an upcoming meeting with FDEP concerning the permit for IFF and encouraged members to attend if interested.</w:t>
      </w:r>
    </w:p>
    <w:p w14:paraId="704180F3" w14:textId="77777777" w:rsidR="00B14080" w:rsidRDefault="00B14080" w:rsidP="00B14080">
      <w:pPr>
        <w:rPr>
          <w:sz w:val="22"/>
        </w:rPr>
      </w:pPr>
    </w:p>
    <w:p w14:paraId="1BFCD474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ENVIRONMENTAL QUALITY DIVISION REPORT</w:t>
      </w:r>
    </w:p>
    <w:p w14:paraId="4D6F2874" w14:textId="26FA75D4" w:rsidR="00B14080" w:rsidRPr="00C94450" w:rsidRDefault="00E0170B" w:rsidP="00B14080">
      <w:pPr>
        <w:rPr>
          <w:szCs w:val="24"/>
        </w:rPr>
      </w:pPr>
      <w:r>
        <w:rPr>
          <w:szCs w:val="24"/>
        </w:rPr>
        <w:t>No report.</w:t>
      </w:r>
    </w:p>
    <w:p w14:paraId="3C6FBA77" w14:textId="77777777" w:rsidR="00B14080" w:rsidRDefault="00B14080" w:rsidP="00B14080">
      <w:pPr>
        <w:rPr>
          <w:sz w:val="22"/>
        </w:rPr>
      </w:pPr>
    </w:p>
    <w:p w14:paraId="25513648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ITEMS REFERRED TO COMMITTEES</w:t>
      </w:r>
    </w:p>
    <w:p w14:paraId="379C33D6" w14:textId="77777777" w:rsidR="00B14080" w:rsidRPr="00B06508" w:rsidRDefault="00B14080" w:rsidP="00B14080">
      <w:pPr>
        <w:contextualSpacing/>
      </w:pPr>
      <w:r>
        <w:t>None</w:t>
      </w:r>
    </w:p>
    <w:p w14:paraId="7E7D5DBF" w14:textId="77777777" w:rsidR="00B14080" w:rsidRDefault="00B14080" w:rsidP="00B14080">
      <w:pPr>
        <w:rPr>
          <w:sz w:val="22"/>
        </w:rPr>
      </w:pPr>
    </w:p>
    <w:p w14:paraId="2A8273C1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NEXT SCHEDULED BOARD MEETING(s) </w:t>
      </w:r>
    </w:p>
    <w:p w14:paraId="5E69CE5E" w14:textId="77777777" w:rsidR="001623E4" w:rsidRDefault="001623E4" w:rsidP="001623E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1C1EE576" w14:textId="77777777" w:rsidR="001623E4" w:rsidRPr="00F53364" w:rsidRDefault="001623E4" w:rsidP="001623E4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Water Committee – TBD</w:t>
      </w:r>
    </w:p>
    <w:p w14:paraId="68559643" w14:textId="77777777" w:rsidR="001623E4" w:rsidRDefault="001623E4" w:rsidP="001623E4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Air Committee – TBD</w:t>
      </w:r>
    </w:p>
    <w:p w14:paraId="36728399" w14:textId="77777777" w:rsidR="001623E4" w:rsidRPr="00DF6E1B" w:rsidRDefault="001623E4" w:rsidP="001623E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>
        <w:rPr>
          <w:rFonts w:ascii="Century Gothic" w:hAnsi="Century Gothic" w:cs="Century Gothic"/>
          <w:sz w:val="22"/>
        </w:rPr>
        <w:t>May 12</w:t>
      </w:r>
      <w:r w:rsidRPr="00DF6E1B">
        <w:rPr>
          <w:rFonts w:ascii="Century Gothic" w:hAnsi="Century Gothic" w:cs="Century Gothic"/>
          <w:sz w:val="22"/>
        </w:rPr>
        <w:t>, 2025, at 4:00 pm</w:t>
      </w:r>
    </w:p>
    <w:p w14:paraId="622F56B4" w14:textId="77777777" w:rsidR="001623E4" w:rsidRDefault="001623E4" w:rsidP="001623E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>
        <w:rPr>
          <w:rFonts w:ascii="Century Gothic" w:hAnsi="Century Gothic" w:cs="Century Gothic"/>
          <w:sz w:val="22"/>
        </w:rPr>
        <w:t>Monday, May 19,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1510C602" w14:textId="77777777" w:rsidR="00B14080" w:rsidRPr="00C94450" w:rsidRDefault="00B14080" w:rsidP="00B14080">
      <w:pPr>
        <w:rPr>
          <w:rFonts w:cs="Arial"/>
          <w:szCs w:val="24"/>
        </w:rPr>
      </w:pPr>
    </w:p>
    <w:p w14:paraId="37F05020" w14:textId="631AB22F" w:rsidR="00487293" w:rsidRDefault="00B14080" w:rsidP="00AB3BE7">
      <w:pPr>
        <w:rPr>
          <w:rFonts w:cs="Arial"/>
          <w:szCs w:val="24"/>
        </w:rPr>
      </w:pPr>
      <w:r w:rsidRPr="00C94450">
        <w:rPr>
          <w:rFonts w:cs="Arial"/>
          <w:szCs w:val="24"/>
        </w:rPr>
        <w:t xml:space="preserve">The meeting was adjourned at </w:t>
      </w:r>
      <w:r w:rsidR="00A51743">
        <w:rPr>
          <w:rFonts w:cs="Arial"/>
          <w:szCs w:val="24"/>
        </w:rPr>
        <w:t>5:28</w:t>
      </w:r>
      <w:r w:rsidR="00836CBE">
        <w:rPr>
          <w:rFonts w:cs="Arial"/>
          <w:szCs w:val="24"/>
        </w:rPr>
        <w:t xml:space="preserve"> </w:t>
      </w:r>
      <w:r w:rsidRPr="00C94450">
        <w:rPr>
          <w:rFonts w:cs="Arial"/>
          <w:szCs w:val="24"/>
        </w:rPr>
        <w:t xml:space="preserve">pm.  </w:t>
      </w:r>
    </w:p>
    <w:p w14:paraId="274CEF19" w14:textId="77777777" w:rsidR="00B50FC3" w:rsidRDefault="00B50FC3" w:rsidP="00AB3BE7">
      <w:pPr>
        <w:rPr>
          <w:rFonts w:cs="Arial"/>
          <w:szCs w:val="24"/>
        </w:rPr>
      </w:pPr>
    </w:p>
    <w:sectPr w:rsidR="00B50FC3" w:rsidSect="008B5A7B"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3F91" w14:textId="77777777" w:rsidR="00BB5C12" w:rsidRDefault="00BB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6AD1" w14:textId="77777777" w:rsidR="00BB5C12" w:rsidRDefault="00BB5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C38" w14:textId="77777777" w:rsidR="00BB5C12" w:rsidRDefault="00BB5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38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436"/>
      <w:gridCol w:w="9560"/>
      <w:gridCol w:w="10836"/>
    </w:tblGrid>
    <w:tr w:rsidR="00EE60EB" w14:paraId="6A0EED15" w14:textId="77777777" w:rsidTr="00B14080">
      <w:trPr>
        <w:tblHeader/>
      </w:trPr>
      <w:tc>
        <w:tcPr>
          <w:tcW w:w="2790" w:type="dxa"/>
        </w:tcPr>
        <w:p w14:paraId="65BFFBCC" w14:textId="77777777" w:rsidR="00EE60EB" w:rsidRDefault="00EE60EB" w:rsidP="00EE60EB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inline distT="0" distB="0" distL="0" distR="0" wp14:anchorId="213C4D74" wp14:editId="4AD87DF1">
                <wp:extent cx="1409700" cy="173008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07" cy="174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tbl>
          <w:tblPr>
            <w:tblStyle w:val="TableGrid"/>
            <w:tblW w:w="934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35"/>
            <w:gridCol w:w="2709"/>
          </w:tblGrid>
          <w:tr w:rsidR="00EE60EB" w:rsidRPr="00BF0308" w14:paraId="3766DB43" w14:textId="77777777" w:rsidTr="00EE60EB">
            <w:trPr>
              <w:trHeight w:val="2781"/>
              <w:tblHeader/>
            </w:trPr>
            <w:tc>
              <w:tcPr>
                <w:tcW w:w="6635" w:type="dxa"/>
              </w:tcPr>
              <w:p w14:paraId="41077539" w14:textId="77777777" w:rsidR="00EE60EB" w:rsidRPr="00BF0308" w:rsidRDefault="00EE60EB" w:rsidP="00EE60EB">
                <w:pPr>
                  <w:pStyle w:val="Header"/>
                  <w:spacing w:after="480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5628DA4E" w14:textId="3B187915" w:rsidR="00EE60EB" w:rsidRPr="00BF0308" w:rsidRDefault="00EE60EB" w:rsidP="00EE60EB">
                <w:pPr>
                  <w:pStyle w:val="Header"/>
                  <w:spacing w:after="480"/>
                  <w:ind w:right="796"/>
                  <w:jc w:val="cent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20"/>
                    <w:szCs w:val="20"/>
                  </w:rPr>
                  <w:t>Jacksonville Environmental Protection Board Members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Thomas Deck -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Vice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Megan Ferer, Josh Gellers, Ph.D., Desiree C. Jones, LMHC, Sunil Joshi, </w:t>
                </w:r>
                <w:proofErr w:type="gramStart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MD, </w:t>
                </w:r>
                <w:r>
                  <w:rPr>
                    <w:color w:val="1F497D" w:themeColor="text2"/>
                    <w:sz w:val="16"/>
                    <w:szCs w:val="16"/>
                  </w:rPr>
                  <w:t xml:space="preserve">  </w:t>
                </w:r>
                <w:proofErr w:type="gramEnd"/>
                <w:r>
                  <w:rPr>
                    <w:color w:val="1F497D" w:themeColor="text2"/>
                    <w:sz w:val="16"/>
                    <w:szCs w:val="16"/>
                  </w:rPr>
                  <w:t xml:space="preserve">                                 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t>Clint Noble, P.G., Guillermo Simon, P.E., Margarete Vest, P.E.</w:t>
                </w:r>
              </w:p>
            </w:tc>
            <w:tc>
              <w:tcPr>
                <w:tcW w:w="2709" w:type="dxa"/>
              </w:tcPr>
              <w:p w14:paraId="784BD0ED" w14:textId="77777777" w:rsidR="00EE60EB" w:rsidRPr="00BF0308" w:rsidRDefault="00EE60EB" w:rsidP="00EE60EB">
                <w:pPr>
                  <w:pStyle w:val="Header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0F9B1833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Air Odor Noise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Clint Noble, P.G.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Josh Gellers, Ph.D. </w:t>
                </w:r>
              </w:p>
              <w:p w14:paraId="4BFC18FE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Megan Ferer</w:t>
                </w:r>
              </w:p>
              <w:p w14:paraId="2157B885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Sunil Joshi, MD</w:t>
                </w:r>
              </w:p>
              <w:p w14:paraId="3D4E7D8A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</w:r>
              </w:p>
              <w:p w14:paraId="0732EBF5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Water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Megan Ferer</w:t>
                </w:r>
              </w:p>
              <w:p w14:paraId="4792BACB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Desiree Jones, LMHC</w:t>
                </w:r>
              </w:p>
              <w:p w14:paraId="6314DEB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Guillermo Simon, P.E.</w:t>
                </w:r>
              </w:p>
              <w:p w14:paraId="32B07AE1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</w:p>
            </w:tc>
          </w:tr>
        </w:tbl>
        <w:p w14:paraId="550E9DF8" w14:textId="6664B883" w:rsidR="00EE60EB" w:rsidRPr="00D03439" w:rsidRDefault="00EE60EB" w:rsidP="00EE60EB">
          <w:pPr>
            <w:pStyle w:val="Header"/>
            <w:spacing w:after="480"/>
            <w:rPr>
              <w:noProof/>
              <w:color w:val="1F497D" w:themeColor="text2"/>
              <w:sz w:val="16"/>
              <w:szCs w:val="16"/>
            </w:rPr>
          </w:pPr>
        </w:p>
      </w:tc>
      <w:tc>
        <w:tcPr>
          <w:tcW w:w="2988" w:type="dxa"/>
        </w:tcPr>
        <w:tbl>
          <w:tblPr>
            <w:tblStyle w:val="TableGrid"/>
            <w:tblW w:w="106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40"/>
            <w:gridCol w:w="3080"/>
          </w:tblGrid>
          <w:tr w:rsidR="00EE60EB" w:rsidRPr="00BF0308" w14:paraId="24F8D059" w14:textId="77777777" w:rsidTr="00440B9A">
            <w:trPr>
              <w:trHeight w:val="2790"/>
              <w:tblHeader/>
            </w:trPr>
            <w:tc>
              <w:tcPr>
                <w:tcW w:w="5508" w:type="dxa"/>
              </w:tcPr>
              <w:p w14:paraId="7FF664CA" w14:textId="77777777" w:rsidR="00EE60EB" w:rsidRPr="00BF0308" w:rsidRDefault="00EE60EB" w:rsidP="00EE60EB">
                <w:pPr>
                  <w:pStyle w:val="Header"/>
                  <w:spacing w:after="480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2A859637" w14:textId="77777777" w:rsidR="00EE60EB" w:rsidRPr="00BF0308" w:rsidRDefault="00EE60EB" w:rsidP="00EE60EB">
                <w:pPr>
                  <w:pStyle w:val="Header"/>
                  <w:spacing w:after="480"/>
                  <w:jc w:val="center"/>
                  <w:rPr>
                    <w:noProof/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20"/>
                    <w:szCs w:val="20"/>
                  </w:rPr>
                  <w:t>Jacksonville Environmental Protection Board Members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Thomas Deck -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Vice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Megan Ferer, Josh Gellers, Ph.D., Desiree C. Jones, </w:t>
                </w:r>
                <w:proofErr w:type="gramStart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LMHC,   </w:t>
                </w:r>
                <w:proofErr w:type="gramEnd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             Sunil Joshi, MD, Clint Noble, P.G., Guillermo Simon, P.E.,                 Margarete Vest, P.E.</w:t>
                </w:r>
              </w:p>
            </w:tc>
            <w:tc>
              <w:tcPr>
                <w:tcW w:w="2250" w:type="dxa"/>
              </w:tcPr>
              <w:p w14:paraId="61E08722" w14:textId="77777777" w:rsidR="00EE60EB" w:rsidRPr="00BF0308" w:rsidRDefault="00EE60EB" w:rsidP="00EE60EB">
                <w:pPr>
                  <w:pStyle w:val="Header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7DAD044E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Air Odor Noise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Clint Noble, P.G.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Josh Gellers, Ph.D. </w:t>
                </w:r>
              </w:p>
              <w:p w14:paraId="718B262F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Megan Ferer</w:t>
                </w:r>
              </w:p>
              <w:p w14:paraId="0244D10A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Sunil Joshi, MD</w:t>
                </w:r>
              </w:p>
              <w:p w14:paraId="251418C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</w:r>
              </w:p>
              <w:p w14:paraId="0F06F086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Water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Megan Ferer</w:t>
                </w:r>
              </w:p>
              <w:p w14:paraId="1845FC9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Desiree Jones, LMHC</w:t>
                </w:r>
              </w:p>
              <w:p w14:paraId="4FF78092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Guillermo Simon, P.E.</w:t>
                </w:r>
              </w:p>
              <w:p w14:paraId="650C53D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</w:p>
            </w:tc>
          </w:tr>
        </w:tbl>
        <w:p w14:paraId="56ED5627" w14:textId="77777777" w:rsidR="00EE60EB" w:rsidRPr="00EC3733" w:rsidRDefault="00EE60EB" w:rsidP="00EE60EB">
          <w:pPr>
            <w:pStyle w:val="Header"/>
            <w:rPr>
              <w:color w:val="1F497D" w:themeColor="text2"/>
              <w:sz w:val="16"/>
              <w:szCs w:val="16"/>
            </w:rPr>
          </w:pPr>
        </w:p>
      </w:tc>
    </w:tr>
  </w:tbl>
  <w:p w14:paraId="59AA3371" w14:textId="77777777" w:rsidR="00B14080" w:rsidRDefault="00B14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E5CC" w14:textId="77777777" w:rsidR="00BB5C12" w:rsidRDefault="00BB5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BFBB" w14:textId="77777777" w:rsidR="00BB5C12" w:rsidRDefault="00BB5C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75"/>
    <w:multiLevelType w:val="hybridMultilevel"/>
    <w:tmpl w:val="58C4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272F"/>
    <w:multiLevelType w:val="hybridMultilevel"/>
    <w:tmpl w:val="E65C0C32"/>
    <w:lvl w:ilvl="0" w:tplc="BB1A5C3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072A"/>
    <w:multiLevelType w:val="hybridMultilevel"/>
    <w:tmpl w:val="BD3A01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1B8F"/>
    <w:multiLevelType w:val="hybridMultilevel"/>
    <w:tmpl w:val="0ED0C6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0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114AF"/>
    <w:multiLevelType w:val="hybridMultilevel"/>
    <w:tmpl w:val="09C0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62176"/>
    <w:multiLevelType w:val="hybridMultilevel"/>
    <w:tmpl w:val="0A26A8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67777B29"/>
    <w:multiLevelType w:val="hybridMultilevel"/>
    <w:tmpl w:val="FB2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34626"/>
    <w:multiLevelType w:val="hybridMultilevel"/>
    <w:tmpl w:val="05F6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D571B"/>
    <w:multiLevelType w:val="hybridMultilevel"/>
    <w:tmpl w:val="C644A7A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49A1026"/>
    <w:multiLevelType w:val="hybridMultilevel"/>
    <w:tmpl w:val="907C4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D1DAA"/>
    <w:multiLevelType w:val="hybridMultilevel"/>
    <w:tmpl w:val="065C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C4DF3"/>
    <w:multiLevelType w:val="hybridMultilevel"/>
    <w:tmpl w:val="F12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8"/>
  </w:num>
  <w:num w:numId="3" w16cid:durableId="1378699471">
    <w:abstractNumId w:val="2"/>
  </w:num>
  <w:num w:numId="4" w16cid:durableId="1916670056">
    <w:abstractNumId w:val="10"/>
  </w:num>
  <w:num w:numId="5" w16cid:durableId="1546869509">
    <w:abstractNumId w:val="9"/>
  </w:num>
  <w:num w:numId="6" w16cid:durableId="1683168007">
    <w:abstractNumId w:val="20"/>
  </w:num>
  <w:num w:numId="7" w16cid:durableId="847209541">
    <w:abstractNumId w:val="15"/>
  </w:num>
  <w:num w:numId="8" w16cid:durableId="1920095977">
    <w:abstractNumId w:val="16"/>
  </w:num>
  <w:num w:numId="9" w16cid:durableId="91291733">
    <w:abstractNumId w:val="11"/>
  </w:num>
  <w:num w:numId="10" w16cid:durableId="1158883867">
    <w:abstractNumId w:val="19"/>
  </w:num>
  <w:num w:numId="11" w16cid:durableId="1192719593">
    <w:abstractNumId w:val="12"/>
  </w:num>
  <w:num w:numId="12" w16cid:durableId="263197306">
    <w:abstractNumId w:val="7"/>
  </w:num>
  <w:num w:numId="13" w16cid:durableId="1522746575">
    <w:abstractNumId w:val="0"/>
  </w:num>
  <w:num w:numId="14" w16cid:durableId="145635264">
    <w:abstractNumId w:val="17"/>
  </w:num>
  <w:num w:numId="15" w16cid:durableId="801508636">
    <w:abstractNumId w:val="5"/>
  </w:num>
  <w:num w:numId="16" w16cid:durableId="1803884984">
    <w:abstractNumId w:val="13"/>
  </w:num>
  <w:num w:numId="17" w16cid:durableId="635794103">
    <w:abstractNumId w:val="18"/>
  </w:num>
  <w:num w:numId="18" w16cid:durableId="2133815569">
    <w:abstractNumId w:val="14"/>
  </w:num>
  <w:num w:numId="19" w16cid:durableId="1474525322">
    <w:abstractNumId w:val="6"/>
  </w:num>
  <w:num w:numId="20" w16cid:durableId="1676181298">
    <w:abstractNumId w:val="1"/>
  </w:num>
  <w:num w:numId="21" w16cid:durableId="62982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12A61"/>
    <w:rsid w:val="00035AF2"/>
    <w:rsid w:val="00074E00"/>
    <w:rsid w:val="000904D9"/>
    <w:rsid w:val="000B378F"/>
    <w:rsid w:val="000B66EE"/>
    <w:rsid w:val="000C6F3A"/>
    <w:rsid w:val="000E7062"/>
    <w:rsid w:val="000E7FB5"/>
    <w:rsid w:val="000F681E"/>
    <w:rsid w:val="00104363"/>
    <w:rsid w:val="00141E6C"/>
    <w:rsid w:val="001623E4"/>
    <w:rsid w:val="00182EE2"/>
    <w:rsid w:val="001E7050"/>
    <w:rsid w:val="001F6819"/>
    <w:rsid w:val="002015C4"/>
    <w:rsid w:val="00203328"/>
    <w:rsid w:val="00211C95"/>
    <w:rsid w:val="00254D32"/>
    <w:rsid w:val="002B2EF8"/>
    <w:rsid w:val="002E2051"/>
    <w:rsid w:val="002E78B8"/>
    <w:rsid w:val="002F2DE5"/>
    <w:rsid w:val="002F3946"/>
    <w:rsid w:val="002F7F2D"/>
    <w:rsid w:val="00307D11"/>
    <w:rsid w:val="00310EAD"/>
    <w:rsid w:val="00323D40"/>
    <w:rsid w:val="003355F7"/>
    <w:rsid w:val="00362355"/>
    <w:rsid w:val="00394A11"/>
    <w:rsid w:val="003A09B8"/>
    <w:rsid w:val="003A4A5A"/>
    <w:rsid w:val="003B1E06"/>
    <w:rsid w:val="003B4AFE"/>
    <w:rsid w:val="003C20D5"/>
    <w:rsid w:val="003F0C65"/>
    <w:rsid w:val="00405A97"/>
    <w:rsid w:val="00427E3F"/>
    <w:rsid w:val="0043327A"/>
    <w:rsid w:val="00452151"/>
    <w:rsid w:val="00453F81"/>
    <w:rsid w:val="004670D2"/>
    <w:rsid w:val="00480500"/>
    <w:rsid w:val="00487293"/>
    <w:rsid w:val="004946C2"/>
    <w:rsid w:val="004B47F0"/>
    <w:rsid w:val="004B6B04"/>
    <w:rsid w:val="004B7598"/>
    <w:rsid w:val="0050164B"/>
    <w:rsid w:val="0050363F"/>
    <w:rsid w:val="005062AC"/>
    <w:rsid w:val="00517AC6"/>
    <w:rsid w:val="005368D7"/>
    <w:rsid w:val="005374AE"/>
    <w:rsid w:val="0054087E"/>
    <w:rsid w:val="005602CD"/>
    <w:rsid w:val="005819E8"/>
    <w:rsid w:val="00584588"/>
    <w:rsid w:val="005960BE"/>
    <w:rsid w:val="0060094D"/>
    <w:rsid w:val="0061052E"/>
    <w:rsid w:val="006161A2"/>
    <w:rsid w:val="00623C5E"/>
    <w:rsid w:val="00660084"/>
    <w:rsid w:val="006615DD"/>
    <w:rsid w:val="006826BB"/>
    <w:rsid w:val="00683950"/>
    <w:rsid w:val="00683D3D"/>
    <w:rsid w:val="00687C58"/>
    <w:rsid w:val="006B1132"/>
    <w:rsid w:val="006B5D66"/>
    <w:rsid w:val="006F3EF1"/>
    <w:rsid w:val="00762556"/>
    <w:rsid w:val="007D1C67"/>
    <w:rsid w:val="007F582F"/>
    <w:rsid w:val="008017C6"/>
    <w:rsid w:val="00836CBE"/>
    <w:rsid w:val="008A4B6B"/>
    <w:rsid w:val="008B03E0"/>
    <w:rsid w:val="008B5A7B"/>
    <w:rsid w:val="008B64C8"/>
    <w:rsid w:val="008E60E9"/>
    <w:rsid w:val="009162D1"/>
    <w:rsid w:val="00950138"/>
    <w:rsid w:val="009558A6"/>
    <w:rsid w:val="00970DA0"/>
    <w:rsid w:val="00984EFB"/>
    <w:rsid w:val="0099762A"/>
    <w:rsid w:val="009B4890"/>
    <w:rsid w:val="009E3054"/>
    <w:rsid w:val="009E6204"/>
    <w:rsid w:val="00A02D41"/>
    <w:rsid w:val="00A06CAF"/>
    <w:rsid w:val="00A231A8"/>
    <w:rsid w:val="00A439F0"/>
    <w:rsid w:val="00A51743"/>
    <w:rsid w:val="00A659F8"/>
    <w:rsid w:val="00A76381"/>
    <w:rsid w:val="00A77E44"/>
    <w:rsid w:val="00A94C57"/>
    <w:rsid w:val="00AA2CDA"/>
    <w:rsid w:val="00AA7533"/>
    <w:rsid w:val="00AB3BE7"/>
    <w:rsid w:val="00AC3542"/>
    <w:rsid w:val="00AD5582"/>
    <w:rsid w:val="00B10013"/>
    <w:rsid w:val="00B12365"/>
    <w:rsid w:val="00B14080"/>
    <w:rsid w:val="00B25551"/>
    <w:rsid w:val="00B327CF"/>
    <w:rsid w:val="00B479B2"/>
    <w:rsid w:val="00B50FC3"/>
    <w:rsid w:val="00B549B2"/>
    <w:rsid w:val="00B6797B"/>
    <w:rsid w:val="00BB5C12"/>
    <w:rsid w:val="00C038F6"/>
    <w:rsid w:val="00C21DCC"/>
    <w:rsid w:val="00C31DC7"/>
    <w:rsid w:val="00C329BA"/>
    <w:rsid w:val="00C4407C"/>
    <w:rsid w:val="00C808F2"/>
    <w:rsid w:val="00C83E15"/>
    <w:rsid w:val="00CA2D70"/>
    <w:rsid w:val="00CD2A69"/>
    <w:rsid w:val="00CD301A"/>
    <w:rsid w:val="00CF1E4D"/>
    <w:rsid w:val="00CF4610"/>
    <w:rsid w:val="00CF5FAD"/>
    <w:rsid w:val="00CF7003"/>
    <w:rsid w:val="00D03439"/>
    <w:rsid w:val="00D069F8"/>
    <w:rsid w:val="00D26FB5"/>
    <w:rsid w:val="00D709DF"/>
    <w:rsid w:val="00D71DF8"/>
    <w:rsid w:val="00DA6D5B"/>
    <w:rsid w:val="00DC5437"/>
    <w:rsid w:val="00E00894"/>
    <w:rsid w:val="00E0170B"/>
    <w:rsid w:val="00E257B3"/>
    <w:rsid w:val="00E26100"/>
    <w:rsid w:val="00E6361D"/>
    <w:rsid w:val="00E8229C"/>
    <w:rsid w:val="00EE2BB6"/>
    <w:rsid w:val="00EE60EB"/>
    <w:rsid w:val="00EF17DF"/>
    <w:rsid w:val="00F33F3B"/>
    <w:rsid w:val="00F521C2"/>
    <w:rsid w:val="00FC1A8C"/>
    <w:rsid w:val="00FF54C8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5</cp:revision>
  <cp:lastPrinted>2022-07-29T15:38:00Z</cp:lastPrinted>
  <dcterms:created xsi:type="dcterms:W3CDTF">2025-05-06T15:05:00Z</dcterms:created>
  <dcterms:modified xsi:type="dcterms:W3CDTF">2025-05-06T15:20:00Z</dcterms:modified>
</cp:coreProperties>
</file>